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highlight w:val="none"/>
          <w:lang w:eastAsia="zh-CN"/>
        </w:rPr>
      </w:pPr>
      <w:r>
        <w:rPr>
          <w:rFonts w:hint="eastAsia" w:ascii="方正小标宋简体" w:hAnsi="仿宋_GB2312" w:eastAsia="方正小标宋简体" w:cs="Times New Roman"/>
          <w:kern w:val="0"/>
          <w:sz w:val="44"/>
          <w:szCs w:val="44"/>
          <w:highlight w:val="none"/>
        </w:rPr>
        <w:t>新疆维吾尔自治区房屋建筑和市政基础设施工程施工评标办法（试行）</w:t>
      </w:r>
    </w:p>
    <w:p>
      <w:pPr>
        <w:jc w:val="center"/>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征求意见稿</w:t>
      </w:r>
      <w:r>
        <w:rPr>
          <w:rFonts w:hint="eastAsia" w:ascii="楷体" w:hAnsi="楷体" w:eastAsia="楷体" w:cs="楷体"/>
          <w:sz w:val="32"/>
          <w:szCs w:val="32"/>
          <w:highlight w:val="none"/>
          <w:lang w:eastAsia="zh-CN"/>
        </w:rPr>
        <w:t>）</w:t>
      </w:r>
    </w:p>
    <w:p>
      <w:pPr>
        <w:pStyle w:val="2"/>
        <w:rPr>
          <w:rFonts w:hint="eastAsia"/>
          <w:lang w:eastAsia="zh-CN"/>
        </w:rPr>
      </w:pP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第一条【制定依据】</w:t>
      </w:r>
      <w:r>
        <w:rPr>
          <w:rFonts w:hint="eastAsia" w:ascii="仿宋" w:hAnsi="仿宋" w:eastAsia="仿宋" w:cs="仿宋"/>
          <w:sz w:val="32"/>
          <w:szCs w:val="32"/>
          <w:highlight w:val="none"/>
        </w:rPr>
        <w:t xml:space="preserve">  为进一步规范</w:t>
      </w:r>
      <w:r>
        <w:rPr>
          <w:rFonts w:hint="eastAsia" w:ascii="仿宋" w:hAnsi="仿宋" w:eastAsia="仿宋" w:cs="仿宋"/>
          <w:sz w:val="32"/>
          <w:szCs w:val="32"/>
          <w:highlight w:val="none"/>
          <w:lang w:val="en-US" w:eastAsia="zh-CN"/>
        </w:rPr>
        <w:t>自治区</w:t>
      </w:r>
      <w:r>
        <w:rPr>
          <w:rFonts w:hint="eastAsia" w:ascii="仿宋" w:hAnsi="仿宋" w:eastAsia="仿宋" w:cs="仿宋"/>
          <w:sz w:val="32"/>
          <w:szCs w:val="32"/>
          <w:highlight w:val="none"/>
        </w:rPr>
        <w:t>房屋建筑和市政基础设施工程招标评标活动，维护公开、公平、公正的市场竞争环境，</w:t>
      </w:r>
      <w:r>
        <w:rPr>
          <w:rFonts w:hint="eastAsia" w:ascii="仿宋" w:hAnsi="仿宋" w:eastAsia="仿宋" w:cs="仿宋"/>
          <w:sz w:val="32"/>
          <w:szCs w:val="32"/>
          <w:highlight w:val="none"/>
          <w:lang w:val="en-US" w:eastAsia="zh-CN"/>
        </w:rPr>
        <w:t>加强</w:t>
      </w:r>
      <w:r>
        <w:rPr>
          <w:rFonts w:hint="eastAsia" w:ascii="仿宋" w:hAnsi="仿宋" w:eastAsia="仿宋" w:cs="仿宋"/>
          <w:sz w:val="32"/>
          <w:szCs w:val="32"/>
          <w:highlight w:val="none"/>
        </w:rPr>
        <w:t>建筑市场</w:t>
      </w:r>
      <w:r>
        <w:rPr>
          <w:rFonts w:hint="eastAsia" w:ascii="仿宋" w:hAnsi="仿宋" w:eastAsia="仿宋" w:cs="仿宋"/>
          <w:sz w:val="32"/>
          <w:szCs w:val="32"/>
          <w:highlight w:val="none"/>
          <w:lang w:val="en-US" w:eastAsia="zh-CN"/>
        </w:rPr>
        <w:t>信用</w:t>
      </w:r>
      <w:r>
        <w:rPr>
          <w:rFonts w:hint="eastAsia" w:ascii="仿宋" w:hAnsi="仿宋" w:eastAsia="仿宋" w:cs="仿宋"/>
          <w:sz w:val="32"/>
          <w:szCs w:val="32"/>
          <w:highlight w:val="none"/>
        </w:rPr>
        <w:t>体系</w:t>
      </w:r>
      <w:r>
        <w:rPr>
          <w:rFonts w:hint="eastAsia" w:ascii="仿宋" w:hAnsi="仿宋" w:eastAsia="仿宋" w:cs="仿宋"/>
          <w:sz w:val="32"/>
          <w:szCs w:val="32"/>
          <w:highlight w:val="none"/>
          <w:lang w:val="en-US" w:eastAsia="zh-CN"/>
        </w:rPr>
        <w:t>建设</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依</w:t>
      </w:r>
      <w:r>
        <w:rPr>
          <w:rFonts w:hint="eastAsia" w:ascii="仿宋" w:hAnsi="仿宋" w:eastAsia="仿宋" w:cs="仿宋"/>
          <w:sz w:val="32"/>
          <w:szCs w:val="32"/>
          <w:highlight w:val="none"/>
        </w:rPr>
        <w:t>据《中华人民共和国建筑法》《招标投标法》《招标投标法实施条例》、《电子招标投标办法》（发展改革委令第20号）《工程建设项目施工招标投标办法》（七部委第30号令）《房屋建筑和市政基础设施工程施工招标投标管理办法》（住房和城乡建设部令第43号）等有关法律法规规章，结合自治区实际，制定本办法。</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第二条【适用范围】</w:t>
      </w:r>
      <w:r>
        <w:rPr>
          <w:rFonts w:hint="eastAsia" w:ascii="仿宋" w:hAnsi="仿宋" w:eastAsia="仿宋" w:cs="仿宋"/>
          <w:sz w:val="32"/>
          <w:szCs w:val="32"/>
          <w:highlight w:val="none"/>
        </w:rPr>
        <w:t xml:space="preserve">  自治区行政区域内依法必须招标的房屋建筑和市政基础设施工程（以下简称建筑工程）施工评标活动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适用本办法。</w:t>
      </w:r>
    </w:p>
    <w:p>
      <w:pPr>
        <w:ind w:firstLine="643" w:firstLineChars="200"/>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rPr>
        <w:t>第三条【监督职责】</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自治区住房城乡建设主管部门对全区建筑工程施工评标活动实施监督管理。</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地（州、市）、县（市、区）</w:t>
      </w:r>
      <w:r>
        <w:rPr>
          <w:rFonts w:hint="eastAsia" w:ascii="仿宋" w:hAnsi="仿宋" w:eastAsia="仿宋" w:cs="仿宋"/>
          <w:sz w:val="32"/>
          <w:szCs w:val="32"/>
          <w:highlight w:val="none"/>
        </w:rPr>
        <w:t>住房城乡建设主管部门对</w:t>
      </w:r>
      <w:r>
        <w:rPr>
          <w:rFonts w:hint="eastAsia" w:ascii="仿宋" w:hAnsi="仿宋" w:eastAsia="仿宋" w:cs="仿宋"/>
          <w:sz w:val="32"/>
          <w:szCs w:val="32"/>
          <w:highlight w:val="none"/>
          <w:lang w:val="en-US" w:eastAsia="zh-CN"/>
        </w:rPr>
        <w:t>本行政区域内</w:t>
      </w:r>
      <w:r>
        <w:rPr>
          <w:rFonts w:hint="eastAsia" w:ascii="仿宋" w:hAnsi="仿宋" w:eastAsia="仿宋" w:cs="仿宋"/>
          <w:sz w:val="32"/>
          <w:szCs w:val="32"/>
          <w:highlight w:val="none"/>
        </w:rPr>
        <w:t>建筑工程</w:t>
      </w:r>
      <w:r>
        <w:rPr>
          <w:rFonts w:hint="eastAsia" w:ascii="仿宋" w:hAnsi="仿宋" w:eastAsia="仿宋" w:cs="仿宋"/>
          <w:sz w:val="32"/>
          <w:szCs w:val="32"/>
          <w:highlight w:val="none"/>
          <w:lang w:val="en-US" w:eastAsia="zh-CN"/>
        </w:rPr>
        <w:t>施工</w:t>
      </w:r>
      <w:r>
        <w:rPr>
          <w:rFonts w:hint="eastAsia" w:ascii="仿宋" w:hAnsi="仿宋" w:eastAsia="仿宋" w:cs="仿宋"/>
          <w:sz w:val="32"/>
          <w:szCs w:val="32"/>
          <w:highlight w:val="none"/>
        </w:rPr>
        <w:t>评标活动实施监督，依法查处评标活动中的违法违规行为。</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rPr>
        <w:t>条【</w:t>
      </w:r>
      <w:r>
        <w:rPr>
          <w:rFonts w:hint="eastAsia" w:ascii="仿宋" w:hAnsi="仿宋" w:eastAsia="仿宋" w:cs="仿宋"/>
          <w:b/>
          <w:bCs/>
          <w:sz w:val="32"/>
          <w:szCs w:val="32"/>
          <w:highlight w:val="none"/>
          <w:lang w:val="en-US" w:eastAsia="zh-CN"/>
        </w:rPr>
        <w:t>评标原则</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施工</w:t>
      </w:r>
      <w:r>
        <w:rPr>
          <w:rFonts w:hint="eastAsia" w:ascii="仿宋" w:hAnsi="仿宋" w:eastAsia="仿宋" w:cs="仿宋"/>
          <w:sz w:val="32"/>
          <w:szCs w:val="32"/>
          <w:highlight w:val="none"/>
        </w:rPr>
        <w:t>评标活动</w:t>
      </w:r>
      <w:r>
        <w:rPr>
          <w:rFonts w:hint="eastAsia" w:ascii="仿宋" w:hAnsi="仿宋" w:eastAsia="仿宋" w:cs="仿宋"/>
          <w:sz w:val="32"/>
          <w:szCs w:val="32"/>
          <w:highlight w:val="none"/>
          <w:lang w:val="en-US" w:eastAsia="zh-CN"/>
        </w:rPr>
        <w:t>应当</w:t>
      </w:r>
      <w:r>
        <w:rPr>
          <w:rFonts w:hint="eastAsia" w:ascii="仿宋" w:hAnsi="仿宋" w:eastAsia="仿宋" w:cs="仿宋"/>
          <w:sz w:val="32"/>
          <w:szCs w:val="32"/>
          <w:highlight w:val="none"/>
        </w:rPr>
        <w:t>遵循公平、公正、科学、诚信、择优的原则，任何单位和个人不得非法干预或者影响评标过程和结果。</w:t>
      </w:r>
    </w:p>
    <w:p>
      <w:pPr>
        <w:pStyle w:val="9"/>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招标人负责制】</w:t>
      </w:r>
      <w:r>
        <w:rPr>
          <w:rFonts w:hint="eastAsia" w:ascii="仿宋" w:hAnsi="仿宋" w:eastAsia="仿宋" w:cs="仿宋"/>
          <w:sz w:val="32"/>
          <w:szCs w:val="32"/>
          <w:highlight w:val="none"/>
        </w:rPr>
        <w:t xml:space="preserve">  </w:t>
      </w:r>
      <w:r>
        <w:rPr>
          <w:rFonts w:hint="eastAsia" w:ascii="仿宋" w:hAnsi="仿宋" w:eastAsia="仿宋" w:cs="仿宋"/>
          <w:color w:val="000000" w:themeColor="text1"/>
          <w:sz w:val="32"/>
          <w:szCs w:val="32"/>
          <w:highlight w:val="none"/>
          <w14:textFill>
            <w14:solidFill>
              <w14:schemeClr w14:val="tx1"/>
            </w14:solidFill>
          </w14:textFill>
        </w:rPr>
        <w:t>招标人是依照</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招标投标法</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规定提出招标项目、进行招标的法人或者其他组织。</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建筑工程施工评标活动由招标人依法组织实施。</w:t>
      </w:r>
      <w:r>
        <w:rPr>
          <w:rFonts w:hint="eastAsia" w:ascii="仿宋" w:hAnsi="仿宋" w:eastAsia="仿宋" w:cs="仿宋"/>
          <w:sz w:val="32"/>
          <w:szCs w:val="32"/>
          <w:highlight w:val="none"/>
        </w:rPr>
        <w:t>招标人应对招标过程及结果的合法性、合理性负责。</w:t>
      </w:r>
    </w:p>
    <w:p>
      <w:pPr>
        <w:pStyle w:val="9"/>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招标人的法定代表人是招标活动的第一责任人，依法承担廉政风险防范主体责任。</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资格审查规定】</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建筑</w:t>
      </w:r>
      <w:r>
        <w:rPr>
          <w:rFonts w:hint="eastAsia" w:ascii="仿宋" w:hAnsi="仿宋" w:eastAsia="仿宋" w:cs="仿宋"/>
          <w:sz w:val="32"/>
          <w:szCs w:val="32"/>
          <w:highlight w:val="none"/>
        </w:rPr>
        <w:t>工程</w:t>
      </w:r>
      <w:r>
        <w:rPr>
          <w:rFonts w:hint="eastAsia" w:ascii="仿宋" w:hAnsi="仿宋" w:eastAsia="仿宋" w:cs="仿宋"/>
          <w:sz w:val="32"/>
          <w:szCs w:val="32"/>
          <w:highlight w:val="none"/>
          <w:lang w:val="en-US" w:eastAsia="zh-CN"/>
        </w:rPr>
        <w:t>施工</w:t>
      </w:r>
      <w:r>
        <w:rPr>
          <w:rFonts w:hint="eastAsia" w:ascii="仿宋" w:hAnsi="仿宋" w:eastAsia="仿宋" w:cs="仿宋"/>
          <w:sz w:val="32"/>
          <w:szCs w:val="32"/>
          <w:highlight w:val="none"/>
        </w:rPr>
        <w:t>招标投标活动依法应由招标人自主决定发起，自主选择资格审查方式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资格审查分为资格预审和资格后审。</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资格预审，是指在投标前对潜在投标人进行的资格审查。资格后审，是指在开标后对投标人进行的资格审查。进行资格预审的，一般不再进行资格后审。</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政府投资项目施工招标原则上采用资格后审。实行资格预审的，招标人应当邀请所有资格预审合格的潜在投标人参加投标。</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资格预审的规定】</w:t>
      </w:r>
      <w:r>
        <w:rPr>
          <w:rFonts w:hint="eastAsia" w:ascii="仿宋" w:hAnsi="仿宋" w:eastAsia="仿宋" w:cs="仿宋"/>
          <w:sz w:val="32"/>
          <w:szCs w:val="32"/>
          <w:highlight w:val="none"/>
        </w:rPr>
        <w:t xml:space="preserve">  资格预审结束后，招标人应当及时向资格预审申请人发出资格预审结果通知书，告知通过资格预审的申请人获取招标文件的时间、地点和方式。</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资格预审结果的通知不应泄露其他通过资格预审申请人的名称和数量。</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通过资格预审申请人少于3个的应当重新招标。</w:t>
      </w:r>
    </w:p>
    <w:p>
      <w:pPr>
        <w:pStyle w:val="2"/>
        <w:ind w:left="0" w:leftChars="0" w:firstLine="643" w:firstLineChars="200"/>
        <w:rPr>
          <w:rFonts w:hint="eastAsia"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远程异地评标</w:t>
      </w:r>
      <w:r>
        <w:rPr>
          <w:rFonts w:hint="eastAsia" w:ascii="仿宋" w:hAnsi="仿宋" w:eastAsia="仿宋" w:cs="仿宋"/>
          <w:b/>
          <w:bCs/>
          <w:color w:val="000000" w:themeColor="text1"/>
          <w:sz w:val="32"/>
          <w:szCs w:val="32"/>
          <w:highlight w:val="none"/>
          <w14:textFill>
            <w14:solidFill>
              <w14:schemeClr w14:val="tx1"/>
            </w14:solidFill>
          </w14:textFill>
        </w:rPr>
        <w:t>的规定】</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宋体"/>
          <w:color w:val="000000" w:themeColor="text1"/>
          <w:sz w:val="32"/>
          <w:szCs w:val="32"/>
          <w:highlight w:val="none"/>
          <w14:textFill>
            <w14:solidFill>
              <w14:schemeClr w14:val="tx1"/>
            </w14:solidFill>
          </w14:textFill>
        </w:rPr>
        <w:t>各地住房城乡建设主管部门应全面推行电子招标投标，</w:t>
      </w:r>
      <w:r>
        <w:rPr>
          <w:rFonts w:hint="eastAsia" w:ascii="仿宋" w:hAnsi="仿宋" w:eastAsia="仿宋" w:cs="宋体"/>
          <w:color w:val="000000" w:themeColor="text1"/>
          <w:sz w:val="32"/>
          <w:szCs w:val="32"/>
          <w:highlight w:val="none"/>
          <w:lang w:val="en-US" w:eastAsia="zh-CN"/>
          <w14:textFill>
            <w14:solidFill>
              <w14:schemeClr w14:val="tx1"/>
            </w14:solidFill>
          </w14:textFill>
        </w:rPr>
        <w:t>鼓励</w:t>
      </w:r>
      <w:r>
        <w:rPr>
          <w:rFonts w:hint="eastAsia" w:ascii="仿宋" w:hAnsi="仿宋" w:eastAsia="仿宋" w:cs="宋体"/>
          <w:color w:val="000000" w:themeColor="text1"/>
          <w:sz w:val="32"/>
          <w:szCs w:val="32"/>
          <w:highlight w:val="none"/>
          <w14:textFill>
            <w14:solidFill>
              <w14:schemeClr w14:val="tx1"/>
            </w14:solidFill>
          </w14:textFill>
        </w:rPr>
        <w:t>推进</w:t>
      </w:r>
      <w:r>
        <w:rPr>
          <w:rFonts w:hint="eastAsia" w:ascii="仿宋" w:hAnsi="仿宋" w:eastAsia="仿宋" w:cs="宋体"/>
          <w:color w:val="000000" w:themeColor="text1"/>
          <w:sz w:val="32"/>
          <w:szCs w:val="32"/>
          <w:highlight w:val="none"/>
          <w:lang w:val="en-US" w:eastAsia="zh-CN"/>
          <w14:textFill>
            <w14:solidFill>
              <w14:schemeClr w14:val="tx1"/>
            </w14:solidFill>
          </w14:textFill>
        </w:rPr>
        <w:t>远程异地评标，实现评标专家资源共享</w:t>
      </w:r>
      <w:r>
        <w:rPr>
          <w:rFonts w:hint="eastAsia" w:ascii="仿宋" w:hAnsi="仿宋" w:eastAsia="仿宋" w:cs="宋体"/>
          <w:color w:val="000000" w:themeColor="text1"/>
          <w:sz w:val="32"/>
          <w:szCs w:val="32"/>
          <w:highlight w:val="none"/>
          <w14:textFill>
            <w14:solidFill>
              <w14:schemeClr w14:val="tx1"/>
            </w14:solidFill>
          </w14:textFill>
        </w:rPr>
        <w:t>。</w:t>
      </w:r>
    </w:p>
    <w:p>
      <w:pPr>
        <w:pStyle w:val="2"/>
        <w:ind w:left="0" w:leftChars="0" w:firstLine="643"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九</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投标保函</w:t>
      </w:r>
      <w:r>
        <w:rPr>
          <w:rFonts w:hint="eastAsia" w:ascii="仿宋" w:hAnsi="仿宋" w:eastAsia="仿宋" w:cs="仿宋"/>
          <w:b/>
          <w:bCs/>
          <w:color w:val="000000" w:themeColor="text1"/>
          <w:sz w:val="32"/>
          <w:szCs w:val="32"/>
          <w:highlight w:val="none"/>
          <w14:textFill>
            <w14:solidFill>
              <w14:schemeClr w14:val="tx1"/>
            </w14:solidFill>
          </w14:textFill>
        </w:rPr>
        <w:t>的规定】</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全面推行投标保函替代保证金。投标人可以采用银行保函、工程担保公司保函和工程保证保险等方式缴纳投标保证金，任何单位不得以任何理由拒绝收取。</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十</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评标办法分类及原则】</w:t>
      </w:r>
      <w:r>
        <w:rPr>
          <w:rFonts w:hint="eastAsia" w:ascii="仿宋" w:hAnsi="仿宋" w:eastAsia="仿宋" w:cs="仿宋"/>
          <w:sz w:val="32"/>
          <w:szCs w:val="32"/>
          <w:highlight w:val="none"/>
        </w:rPr>
        <w:t xml:space="preserve">  评标方法包括综合评估法、经评审合理低价法、定性评审法。</w:t>
      </w:r>
    </w:p>
    <w:p>
      <w:pPr>
        <w:pStyle w:val="9"/>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采用综合评估法评标的，以能够最大限度地满足招标文件中规定的各项条件的投标为中标标准。</w:t>
      </w:r>
    </w:p>
    <w:p>
      <w:pPr>
        <w:pStyle w:val="9"/>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采用经评审合理低价法评标的，以能够满足招标文件的实质性要求，经评审投标价格最低，但不低于成本的投标为中标标准。招标文件中标的、数量、质量、价款、履行期限、履行地点和方式、违约责任和解决争议方法属于招标文件的实质性要求。</w:t>
      </w:r>
    </w:p>
    <w:p>
      <w:pPr>
        <w:ind w:firstLine="640" w:firstLineChars="200"/>
        <w:rPr>
          <w:rFonts w:ascii="仿宋" w:hAnsi="仿宋" w:eastAsia="仿宋" w:cs="仿宋"/>
          <w:sz w:val="32"/>
          <w:szCs w:val="32"/>
          <w:highlight w:val="none"/>
        </w:rPr>
      </w:pPr>
      <w:r>
        <w:rPr>
          <w:rFonts w:ascii="仿宋" w:hAnsi="仿宋" w:eastAsia="仿宋" w:cs="仿宋"/>
          <w:sz w:val="32"/>
          <w:szCs w:val="32"/>
          <w:highlight w:val="none"/>
        </w:rPr>
        <w:t>采用定性评审法评标的</w:t>
      </w:r>
      <w:r>
        <w:rPr>
          <w:rFonts w:hint="eastAsia" w:ascii="仿宋" w:hAnsi="仿宋" w:eastAsia="仿宋" w:cs="仿宋"/>
          <w:sz w:val="32"/>
          <w:szCs w:val="32"/>
          <w:highlight w:val="none"/>
        </w:rPr>
        <w:t>，是以招标文件公布的符合性条件为基准，筛选资格条件合格的潜在投标人。由招标人组建的定标委员会，根据招标文件公布的定标方法确定中标人。</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十一</w:t>
      </w:r>
      <w:r>
        <w:rPr>
          <w:rFonts w:hint="eastAsia" w:ascii="仿宋" w:hAnsi="仿宋" w:eastAsia="仿宋" w:cs="仿宋"/>
          <w:b/>
          <w:bCs/>
          <w:sz w:val="32"/>
          <w:szCs w:val="32"/>
          <w:highlight w:val="none"/>
        </w:rPr>
        <w:t>条【评标过程的解释】</w:t>
      </w:r>
      <w:r>
        <w:rPr>
          <w:rFonts w:hint="eastAsia" w:ascii="仿宋" w:hAnsi="仿宋" w:eastAsia="仿宋" w:cs="仿宋"/>
          <w:sz w:val="32"/>
          <w:szCs w:val="32"/>
          <w:highlight w:val="none"/>
        </w:rPr>
        <w:t xml:space="preserve">  评标过程中，评标委员会成员对法律法规及相关政策文件理解不一致或者不熟悉的，应当提请在现场或远程监督的住房城乡建设主管部门解释；对招标文件中存在的其他非实质性问题应当提请招标人澄清。</w:t>
      </w:r>
    </w:p>
    <w:p>
      <w:pPr>
        <w:ind w:firstLine="640" w:firstLineChars="200"/>
        <w:rPr>
          <w:highlight w:val="none"/>
        </w:rPr>
      </w:pPr>
      <w:r>
        <w:rPr>
          <w:rFonts w:hint="eastAsia" w:ascii="仿宋" w:hAnsi="仿宋" w:eastAsia="仿宋" w:cs="仿宋"/>
          <w:sz w:val="32"/>
          <w:szCs w:val="32"/>
          <w:highlight w:val="none"/>
        </w:rPr>
        <w:t>对上述情形以外的问题，由评标委员会集体讨论决定。无法形成一致意见时，应当按照少数服从多数原则进行表决并予记录。</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十二</w:t>
      </w:r>
      <w:r>
        <w:rPr>
          <w:rFonts w:hint="eastAsia" w:ascii="仿宋" w:hAnsi="仿宋" w:eastAsia="仿宋" w:cs="仿宋"/>
          <w:b/>
          <w:bCs/>
          <w:sz w:val="32"/>
          <w:szCs w:val="32"/>
          <w:highlight w:val="none"/>
        </w:rPr>
        <w:t xml:space="preserve">条【招标控制价的相关规定】 </w:t>
      </w:r>
      <w:r>
        <w:rPr>
          <w:rFonts w:hint="eastAsia" w:ascii="仿宋" w:hAnsi="仿宋" w:eastAsia="仿宋" w:cs="仿宋"/>
          <w:sz w:val="32"/>
          <w:szCs w:val="32"/>
          <w:highlight w:val="none"/>
        </w:rPr>
        <w:t xml:space="preserve"> 招标人应当按照招标范围、技术要求及国家的标准规范，并遵循国家、自治区颁发的计价依据和计价办法编制工程量清单和招标控制价。</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招标控制价由招标人或其委托的工程造价咨询机构编制，并在招标文件备案时公布。公布的内容包括：编制依据、控制价详细预算（包括综合单价分析表）、编制单位、编制人及审核人等。</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条【评标委员会的组建】</w:t>
      </w:r>
      <w:r>
        <w:rPr>
          <w:rFonts w:hint="eastAsia" w:ascii="仿宋" w:hAnsi="仿宋" w:eastAsia="仿宋" w:cs="仿宋"/>
          <w:sz w:val="32"/>
          <w:szCs w:val="32"/>
          <w:highlight w:val="none"/>
        </w:rPr>
        <w:t xml:space="preserve">  评标由依法组建的评标委员会负责。</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评标委员会成员由招标人代表，以及技术、经济等方面专家组成，其中技术、经济等方面专家不得少于成员总数的三分之二。</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rPr>
        <w:t xml:space="preserve">条【评标要求1】 </w:t>
      </w:r>
      <w:r>
        <w:rPr>
          <w:rFonts w:hint="eastAsia" w:ascii="仿宋" w:hAnsi="仿宋" w:eastAsia="仿宋" w:cs="仿宋"/>
          <w:sz w:val="32"/>
          <w:szCs w:val="32"/>
          <w:highlight w:val="none"/>
        </w:rPr>
        <w:t xml:space="preserve"> 评标委员会成员应当认真研究招标文件，至少应当了解和熟悉以下内容：</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（一）招标的目标；</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（二）招标项目的范围和性质；</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（三）招标文件中规定的主要技术要求、标准和商务条款、质量标准和工期要求；</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（四）招标文件规定的评审标准、评标办法和评标过程应当考虑的相关因素；</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（五）招标人或者其委托的招标代理机构提供的评标所需的重要信息和数据。</w:t>
      </w:r>
    </w:p>
    <w:p>
      <w:pPr>
        <w:ind w:firstLine="643" w:firstLineChars="200"/>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条【评标要求2】</w:t>
      </w:r>
      <w:r>
        <w:rPr>
          <w:rFonts w:hint="eastAsia" w:ascii="仿宋" w:hAnsi="仿宋" w:eastAsia="仿宋" w:cs="仿宋"/>
          <w:sz w:val="32"/>
          <w:szCs w:val="32"/>
          <w:highlight w:val="none"/>
        </w:rPr>
        <w:t xml:space="preserve">  评标委员会应当严格按照招标文件公布的评审标准和方法进行评审。招标文件没有公布的标准和方法不得作为评审依据</w:t>
      </w:r>
      <w:r>
        <w:rPr>
          <w:rFonts w:hint="eastAsia" w:ascii="仿宋" w:hAnsi="仿宋" w:eastAsia="仿宋" w:cs="仿宋"/>
          <w:sz w:val="32"/>
          <w:szCs w:val="32"/>
          <w:highlight w:val="none"/>
          <w:lang w:eastAsia="zh-CN"/>
        </w:rPr>
        <w:t>。</w:t>
      </w:r>
    </w:p>
    <w:p>
      <w:pPr>
        <w:ind w:firstLine="643"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 xml:space="preserve">条【开标阶段不予受理投标文件的情形】  </w:t>
      </w:r>
      <w:r>
        <w:rPr>
          <w:rFonts w:hint="eastAsia" w:ascii="仿宋" w:hAnsi="仿宋" w:eastAsia="仿宋" w:cs="仿宋"/>
          <w:sz w:val="32"/>
          <w:szCs w:val="32"/>
          <w:highlight w:val="none"/>
          <w:lang w:val="en-US" w:eastAsia="zh-CN"/>
        </w:rPr>
        <w:t>开标时</w:t>
      </w:r>
      <w:r>
        <w:rPr>
          <w:rFonts w:hint="eastAsia" w:ascii="仿宋" w:hAnsi="仿宋" w:eastAsia="仿宋" w:cs="仿宋"/>
          <w:sz w:val="32"/>
          <w:szCs w:val="32"/>
          <w:highlight w:val="none"/>
        </w:rPr>
        <w:t>存在以下情形，投标文件将不予受理：</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（一）逾期提交投标文件的；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（二）电子投标文件无法导入电子评标系统或无法解密的；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（三）被</w:t>
      </w:r>
      <w:r>
        <w:rPr>
          <w:rFonts w:hint="eastAsia" w:ascii="仿宋" w:hAnsi="仿宋" w:eastAsia="仿宋" w:cs="仿宋"/>
          <w:sz w:val="32"/>
          <w:szCs w:val="32"/>
          <w:highlight w:val="none"/>
          <w:lang w:val="en-US" w:eastAsia="zh-CN"/>
        </w:rPr>
        <w:t>住房城乡</w:t>
      </w:r>
      <w:r>
        <w:rPr>
          <w:rFonts w:hint="eastAsia" w:ascii="仿宋" w:hAnsi="仿宋" w:eastAsia="仿宋" w:cs="仿宋"/>
          <w:sz w:val="32"/>
          <w:szCs w:val="32"/>
          <w:highlight w:val="none"/>
        </w:rPr>
        <w:t>建设主管部门</w:t>
      </w:r>
      <w:r>
        <w:rPr>
          <w:rFonts w:hint="eastAsia" w:ascii="仿宋" w:hAnsi="仿宋" w:eastAsia="仿宋" w:cs="仿宋"/>
          <w:sz w:val="32"/>
          <w:szCs w:val="32"/>
          <w:highlight w:val="none"/>
          <w:lang w:val="en-US" w:eastAsia="zh-CN"/>
        </w:rPr>
        <w:t>处罚</w:t>
      </w:r>
      <w:r>
        <w:rPr>
          <w:rFonts w:hint="eastAsia" w:ascii="仿宋" w:hAnsi="仿宋" w:eastAsia="仿宋" w:cs="仿宋"/>
          <w:sz w:val="32"/>
          <w:szCs w:val="32"/>
          <w:highlight w:val="none"/>
        </w:rPr>
        <w:t>限制投标且在限制投标期内的；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（四）依法应当拒绝投标的其他情形。</w:t>
      </w:r>
    </w:p>
    <w:p>
      <w:pPr>
        <w:ind w:firstLine="643" w:firstLineChars="200"/>
        <w:rPr>
          <w:rFonts w:hint="default" w:ascii="仿宋" w:hAnsi="仿宋" w:eastAsia="仿宋"/>
          <w:color w:val="auto"/>
          <w:sz w:val="32"/>
          <w:szCs w:val="32"/>
          <w:highlight w:val="none"/>
          <w:lang w:val="en-US" w:eastAsia="zh-CN"/>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 xml:space="preserve">条【评审内容】  </w:t>
      </w:r>
      <w:r>
        <w:rPr>
          <w:rFonts w:ascii="仿宋" w:hAnsi="仿宋" w:eastAsia="仿宋" w:cs="仿宋"/>
          <w:b w:val="0"/>
          <w:bCs w:val="0"/>
          <w:color w:val="auto"/>
          <w:sz w:val="32"/>
          <w:szCs w:val="32"/>
          <w:highlight w:val="none"/>
        </w:rPr>
        <w:t>评标包括初步评审和详细评审</w:t>
      </w:r>
      <w:r>
        <w:rPr>
          <w:rFonts w:hint="eastAsia" w:ascii="仿宋" w:hAnsi="仿宋" w:eastAsia="仿宋" w:cs="仿宋"/>
          <w:b w:val="0"/>
          <w:bCs w:val="0"/>
          <w:color w:val="auto"/>
          <w:sz w:val="32"/>
          <w:szCs w:val="32"/>
          <w:highlight w:val="none"/>
        </w:rPr>
        <w:t>。</w:t>
      </w:r>
      <w:r>
        <w:rPr>
          <w:rFonts w:hint="eastAsia" w:ascii="仿宋" w:hAnsi="仿宋" w:eastAsia="仿宋" w:cs="仿宋"/>
          <w:color w:val="auto"/>
          <w:sz w:val="32"/>
          <w:szCs w:val="32"/>
          <w:highlight w:val="none"/>
        </w:rPr>
        <w:t>初步评审包括形式评审、资格评审、重大偏差评审。</w:t>
      </w:r>
      <w:r>
        <w:rPr>
          <w:rFonts w:ascii="仿宋" w:hAnsi="仿宋" w:eastAsia="仿宋"/>
          <w:color w:val="auto"/>
          <w:sz w:val="32"/>
          <w:szCs w:val="32"/>
          <w:highlight w:val="none"/>
        </w:rPr>
        <w:t>详细评审包括技术标评审</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经济标评审</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商务评审</w:t>
      </w:r>
      <w:r>
        <w:rPr>
          <w:rFonts w:hint="eastAsia" w:ascii="仿宋" w:hAnsi="仿宋" w:eastAsia="仿宋"/>
          <w:color w:val="auto"/>
          <w:sz w:val="32"/>
          <w:szCs w:val="32"/>
          <w:highlight w:val="none"/>
          <w:lang w:val="en-US" w:eastAsia="zh-CN"/>
        </w:rPr>
        <w:t>和信用评价评审等。</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 xml:space="preserve">条【形式评审】  </w:t>
      </w:r>
      <w:r>
        <w:rPr>
          <w:rFonts w:hint="eastAsia" w:ascii="仿宋" w:hAnsi="仿宋" w:eastAsia="仿宋" w:cs="仿宋"/>
          <w:sz w:val="32"/>
          <w:szCs w:val="32"/>
          <w:highlight w:val="none"/>
        </w:rPr>
        <w:t>形式评审时，有下列情形之一的，应当否决其投标：</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（一）未按照招标文件要求提供投标担保，或者所提供的投标担保有瑕疵的；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（二）项目负责人不是投标人注册执业人员的；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（三）投标文件指定位置</w:t>
      </w:r>
      <w:r>
        <w:rPr>
          <w:rFonts w:hint="eastAsia" w:ascii="仿宋" w:hAnsi="仿宋" w:eastAsia="仿宋" w:cs="仿宋"/>
          <w:color w:val="auto"/>
          <w:sz w:val="32"/>
          <w:szCs w:val="32"/>
          <w:highlight w:val="none"/>
          <w:lang w:val="en-US" w:eastAsia="zh-CN"/>
        </w:rPr>
        <w:t>没</w:t>
      </w:r>
      <w:r>
        <w:rPr>
          <w:rFonts w:hint="eastAsia" w:ascii="仿宋" w:hAnsi="仿宋" w:eastAsia="仿宋" w:cs="仿宋"/>
          <w:color w:val="auto"/>
          <w:sz w:val="32"/>
          <w:szCs w:val="32"/>
          <w:highlight w:val="none"/>
        </w:rPr>
        <w:t>有投标单位法定代表人或其授权代表签字（章）和加盖投标单位公章的；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（四）组成一个联合体投标，未提交联合体各方签订的共同投标协议的；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（五）投标文件载明的技术规格、技术标准、货物包装方式、检验标准和方法等，不符合招标文件要求的；</w:t>
      </w:r>
    </w:p>
    <w:p>
      <w:pPr>
        <w:pStyle w:val="2"/>
        <w:ind w:left="0" w:leftChars="0"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（六）不符合法律法规和招标文件规定的其他情形。</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第十</w:t>
      </w: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 xml:space="preserve">条【资格评审】  </w:t>
      </w:r>
      <w:r>
        <w:rPr>
          <w:rFonts w:hint="eastAsia" w:ascii="仿宋" w:hAnsi="仿宋" w:eastAsia="仿宋" w:cs="仿宋"/>
          <w:sz w:val="32"/>
          <w:szCs w:val="32"/>
          <w:highlight w:val="none"/>
        </w:rPr>
        <w:t>资格评审时，有下列情形之一的，应当否决其投标：</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（一）未提供有效营业执照的；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val="en-US" w:eastAsia="zh-CN"/>
        </w:rPr>
        <w:t>不</w:t>
      </w:r>
      <w:r>
        <w:rPr>
          <w:rFonts w:hint="eastAsia" w:ascii="仿宋" w:hAnsi="仿宋" w:eastAsia="仿宋" w:cs="仿宋"/>
          <w:sz w:val="32"/>
          <w:szCs w:val="32"/>
          <w:highlight w:val="none"/>
        </w:rPr>
        <w:t>满足招标项目需要资质等级的；</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（三）无有效安全生产许可证的；</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（四）项目负责人条件不满足招标文件要求的；</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（五）提供近年财务报表不满足招标文件要求的；</w:t>
      </w:r>
    </w:p>
    <w:p>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（六）企业信誉不满足招标</w:t>
      </w:r>
      <w:r>
        <w:rPr>
          <w:rFonts w:hint="eastAsia" w:ascii="仿宋" w:hAnsi="仿宋" w:eastAsia="仿宋" w:cs="仿宋"/>
          <w:kern w:val="2"/>
          <w:sz w:val="32"/>
          <w:szCs w:val="32"/>
          <w:highlight w:val="none"/>
          <w:lang w:val="en-US" w:eastAsia="zh-CN" w:bidi="ar-SA"/>
        </w:rPr>
        <w:t>文件要求的；</w:t>
      </w:r>
    </w:p>
    <w:p>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（七）类似项目业绩不满足招标文件要求的（若有）；</w:t>
      </w:r>
    </w:p>
    <w:p>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（八）不符合法律法规和招标文件规定的其他情形。</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二十</w:t>
      </w:r>
      <w:r>
        <w:rPr>
          <w:rFonts w:hint="eastAsia" w:ascii="仿宋" w:hAnsi="仿宋" w:eastAsia="仿宋" w:cs="仿宋"/>
          <w:b/>
          <w:bCs/>
          <w:sz w:val="32"/>
          <w:szCs w:val="32"/>
          <w:highlight w:val="none"/>
        </w:rPr>
        <w:t>条【重大偏差评审】</w:t>
      </w:r>
      <w:r>
        <w:rPr>
          <w:rFonts w:hint="eastAsia" w:ascii="仿宋" w:hAnsi="仿宋" w:eastAsia="仿宋" w:cs="仿宋"/>
          <w:sz w:val="32"/>
          <w:szCs w:val="32"/>
          <w:highlight w:val="none"/>
        </w:rPr>
        <w:t xml:space="preserve">  重大偏差评审时，有下列情形之一的，应当否决其投标：</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（一）投标报价高于招标控制价的；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（二）投标文件承诺的工期超过招标文件中工期要求的；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（三）联合体各方在同一招标项目中以自己名义单独投标或者参加其他联合体投标的；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（四）同一项目投标人之间有控股关系或法定代表人为同一人的；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（五）单位工程、单项工程的名称或结构与招标文件不一致的；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（六）改变招标文件提供工程量清单中的项目编码、项目名称、项目特征、计量单位和工程量的；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（七）改动规费、税金及安全文明施工费中“环境保护费、文明施工费、安全防护费”、“扬尘污染防治费”、“智慧工地基础配置费用”等不可竞争费的计费基础和费率的；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（八）改动暂列金、专业工程暂估价的；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（九）改动材料、设备等暂估单价的；</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（十）投标人名称、组织机构与获取招标文件时或资格预审时不符，涉嫌以他人名义投标的；</w:t>
      </w:r>
    </w:p>
    <w:p>
      <w:pPr>
        <w:pStyle w:val="2"/>
        <w:ind w:left="0" w:leftChars="0" w:firstLine="640"/>
        <w:rPr>
          <w:color w:val="auto"/>
          <w:highlight w:val="none"/>
        </w:rPr>
      </w:pPr>
      <w:r>
        <w:rPr>
          <w:rFonts w:hint="eastAsia" w:ascii="仿宋" w:hAnsi="仿宋" w:eastAsia="仿宋" w:cs="仿宋"/>
          <w:color w:val="auto"/>
          <w:sz w:val="32"/>
          <w:szCs w:val="32"/>
          <w:highlight w:val="none"/>
        </w:rPr>
        <w:t>（十一）投标人之间或者投标人与招标人之间串通投标的；</w:t>
      </w:r>
    </w:p>
    <w:p>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（十二）不满足招标文件实质性要求的其他情形。</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kern w:val="2"/>
          <w:sz w:val="32"/>
          <w:szCs w:val="32"/>
          <w:highlight w:val="none"/>
          <w:lang w:val="en-US" w:eastAsia="zh-CN" w:bidi="ar-SA"/>
        </w:rPr>
        <w:t>第二十一条【技术标评审】</w:t>
      </w:r>
      <w:r>
        <w:rPr>
          <w:rFonts w:hint="eastAsia" w:ascii="仿宋" w:hAnsi="仿宋" w:eastAsia="仿宋" w:cs="仿宋"/>
          <w:kern w:val="2"/>
          <w:sz w:val="32"/>
          <w:szCs w:val="32"/>
          <w:highlight w:val="none"/>
          <w:lang w:val="en-US" w:eastAsia="zh-CN" w:bidi="ar-SA"/>
        </w:rPr>
        <w:t xml:space="preserve">  技术标评审标准分为合格制和计分制，评审采用暗标方式进行。技术标评审包括工程特点、施工准备计划、施</w:t>
      </w:r>
      <w:r>
        <w:rPr>
          <w:rFonts w:hint="eastAsia" w:ascii="仿宋" w:hAnsi="仿宋" w:eastAsia="仿宋" w:cs="仿宋"/>
          <w:color w:val="auto"/>
          <w:sz w:val="32"/>
          <w:szCs w:val="32"/>
          <w:highlight w:val="none"/>
        </w:rPr>
        <w:t>工方案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施工平面布置、</w:t>
      </w:r>
      <w:r>
        <w:rPr>
          <w:rFonts w:hint="eastAsia" w:ascii="仿宋" w:hAnsi="仿宋" w:eastAsia="仿宋" w:cs="仿宋"/>
          <w:color w:val="auto"/>
          <w:sz w:val="32"/>
          <w:szCs w:val="32"/>
          <w:highlight w:val="none"/>
        </w:rPr>
        <w:t>工程进度计划措施、</w:t>
      </w:r>
      <w:r>
        <w:rPr>
          <w:rFonts w:hint="eastAsia" w:ascii="仿宋" w:hAnsi="仿宋" w:eastAsia="仿宋" w:cs="仿宋"/>
          <w:color w:val="auto"/>
          <w:sz w:val="32"/>
          <w:szCs w:val="32"/>
          <w:highlight w:val="none"/>
          <w:lang w:val="en-US" w:eastAsia="zh-CN"/>
        </w:rPr>
        <w:t>劳动力、材料和机械设备需用量计划、</w:t>
      </w:r>
      <w:r>
        <w:rPr>
          <w:rFonts w:hint="eastAsia" w:ascii="仿宋" w:hAnsi="仿宋" w:eastAsia="仿宋" w:cs="仿宋"/>
          <w:color w:val="auto"/>
          <w:sz w:val="32"/>
          <w:szCs w:val="32"/>
          <w:highlight w:val="none"/>
        </w:rPr>
        <w:t>安全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质量</w:t>
      </w:r>
      <w:r>
        <w:rPr>
          <w:rFonts w:hint="eastAsia" w:ascii="仿宋" w:hAnsi="仿宋" w:eastAsia="仿宋" w:cs="仿宋"/>
          <w:color w:val="auto"/>
          <w:sz w:val="32"/>
          <w:szCs w:val="32"/>
          <w:highlight w:val="none"/>
          <w:lang w:val="en-US" w:eastAsia="zh-CN"/>
        </w:rPr>
        <w:t>和工期保证措施及</w:t>
      </w:r>
      <w:r>
        <w:rPr>
          <w:rFonts w:hint="eastAsia" w:ascii="仿宋" w:hAnsi="仿宋" w:eastAsia="仿宋" w:cs="仿宋"/>
          <w:color w:val="auto"/>
          <w:sz w:val="32"/>
          <w:szCs w:val="32"/>
          <w:highlight w:val="none"/>
        </w:rPr>
        <w:t>体系、</w:t>
      </w:r>
      <w:r>
        <w:rPr>
          <w:rFonts w:hint="eastAsia" w:ascii="仿宋" w:hAnsi="仿宋" w:eastAsia="仿宋" w:cs="仿宋"/>
          <w:color w:val="auto"/>
          <w:sz w:val="32"/>
          <w:szCs w:val="32"/>
          <w:highlight w:val="none"/>
          <w:lang w:val="en-US" w:eastAsia="zh-CN"/>
        </w:rPr>
        <w:t>文明施工措施、智慧工地及防疫措施</w:t>
      </w:r>
      <w:r>
        <w:rPr>
          <w:rFonts w:hint="eastAsia" w:ascii="仿宋" w:hAnsi="仿宋" w:eastAsia="仿宋" w:cs="仿宋"/>
          <w:color w:val="auto"/>
          <w:sz w:val="32"/>
          <w:szCs w:val="32"/>
          <w:highlight w:val="none"/>
        </w:rPr>
        <w:t>等。</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招标人要求采用建筑信息模型技术的，可以将建筑信息模型技术管理体系与措施纳入评审。</w:t>
      </w:r>
    </w:p>
    <w:p>
      <w:pPr>
        <w:spacing w:line="360" w:lineRule="auto"/>
        <w:ind w:firstLine="643" w:firstLineChars="200"/>
        <w:rPr>
          <w:rFonts w:hint="default" w:ascii="仿宋" w:hAnsi="仿宋" w:eastAsia="仿宋" w:cs="仿宋"/>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第二十二条【商务评审】</w:t>
      </w:r>
      <w:r>
        <w:rPr>
          <w:rFonts w:hint="eastAsia" w:ascii="仿宋" w:hAnsi="仿宋" w:eastAsia="仿宋" w:cs="仿宋"/>
          <w:kern w:val="2"/>
          <w:sz w:val="32"/>
          <w:szCs w:val="32"/>
          <w:highlight w:val="none"/>
          <w:lang w:val="en-US" w:eastAsia="zh-CN" w:bidi="ar-SA"/>
        </w:rPr>
        <w:t xml:space="preserve">  商务评审为计分制评审，</w:t>
      </w:r>
      <w:r>
        <w:rPr>
          <w:rFonts w:hint="eastAsia" w:ascii="仿宋_GB2312" w:hAnsi="仿宋_GB2312" w:eastAsia="仿宋_GB2312" w:cs="仿宋_GB2312"/>
          <w:color w:val="000000"/>
          <w:kern w:val="0"/>
          <w:sz w:val="32"/>
          <w:szCs w:val="32"/>
          <w:highlight w:val="none"/>
          <w:lang w:eastAsia="zh-CN"/>
        </w:rPr>
        <w:t>商务</w:t>
      </w:r>
      <w:r>
        <w:rPr>
          <w:rFonts w:hint="eastAsia" w:ascii="仿宋_GB2312" w:hAnsi="仿宋_GB2312" w:eastAsia="仿宋_GB2312" w:cs="仿宋_GB2312"/>
          <w:color w:val="000000"/>
          <w:kern w:val="0"/>
          <w:sz w:val="32"/>
          <w:szCs w:val="32"/>
          <w:highlight w:val="none"/>
        </w:rPr>
        <w:t>评审包括</w:t>
      </w:r>
      <w:r>
        <w:rPr>
          <w:rFonts w:hint="eastAsia" w:ascii="仿宋_GB2312" w:hAnsi="仿宋_GB2312" w:eastAsia="仿宋_GB2312" w:cs="仿宋_GB2312"/>
          <w:color w:val="000000"/>
          <w:kern w:val="0"/>
          <w:sz w:val="32"/>
          <w:szCs w:val="32"/>
          <w:highlight w:val="none"/>
          <w:lang w:eastAsia="zh-CN"/>
        </w:rPr>
        <w:t>类似工程业绩（</w:t>
      </w:r>
      <w:r>
        <w:rPr>
          <w:rFonts w:hint="eastAsia" w:ascii="仿宋_GB2312" w:hAnsi="仿宋_GB2312" w:eastAsia="仿宋_GB2312" w:cs="仿宋_GB2312"/>
          <w:color w:val="000000"/>
          <w:kern w:val="0"/>
          <w:sz w:val="32"/>
          <w:szCs w:val="32"/>
          <w:highlight w:val="none"/>
          <w:lang w:val="en-US" w:eastAsia="zh-CN"/>
        </w:rPr>
        <w:t>若有</w:t>
      </w:r>
      <w:r>
        <w:rPr>
          <w:rFonts w:hint="eastAsia" w:ascii="仿宋_GB2312" w:hAnsi="仿宋_GB2312" w:eastAsia="仿宋_GB2312" w:cs="仿宋_GB2312"/>
          <w:color w:val="000000"/>
          <w:kern w:val="0"/>
          <w:sz w:val="32"/>
          <w:szCs w:val="32"/>
          <w:highlight w:val="none"/>
          <w:lang w:eastAsia="zh-CN"/>
        </w:rPr>
        <w:t>）、项目管理机构、</w:t>
      </w:r>
      <w:r>
        <w:rPr>
          <w:rFonts w:hint="eastAsia" w:ascii="仿宋_GB2312" w:hAnsi="仿宋_GB2312" w:eastAsia="仿宋_GB2312" w:cs="仿宋_GB2312"/>
          <w:color w:val="000000"/>
          <w:kern w:val="0"/>
          <w:sz w:val="32"/>
          <w:szCs w:val="32"/>
          <w:highlight w:val="none"/>
        </w:rPr>
        <w:t>财务情况、</w:t>
      </w:r>
      <w:r>
        <w:rPr>
          <w:rFonts w:hint="eastAsia" w:ascii="仿宋_GB2312" w:hAnsi="仿宋_GB2312" w:eastAsia="仿宋_GB2312" w:cs="仿宋_GB2312"/>
          <w:color w:val="000000"/>
          <w:kern w:val="0"/>
          <w:sz w:val="32"/>
          <w:szCs w:val="32"/>
          <w:highlight w:val="none"/>
          <w:lang w:val="en-US" w:eastAsia="zh-CN"/>
        </w:rPr>
        <w:t>标准化工地等</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 xml:space="preserve"> </w:t>
      </w:r>
    </w:p>
    <w:p>
      <w:pPr>
        <w:ind w:firstLine="732" w:firstLineChars="228"/>
        <w:rPr>
          <w:rFonts w:hint="default"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第二十三条【信用评价评审】</w:t>
      </w:r>
      <w:r>
        <w:rPr>
          <w:rFonts w:hint="eastAsia" w:ascii="仿宋" w:hAnsi="仿宋" w:eastAsia="仿宋" w:cs="仿宋"/>
          <w:kern w:val="2"/>
          <w:sz w:val="32"/>
          <w:szCs w:val="32"/>
          <w:highlight w:val="none"/>
          <w:lang w:val="en-US" w:eastAsia="zh-CN" w:bidi="ar-SA"/>
        </w:rPr>
        <w:t xml:space="preserve">  </w:t>
      </w:r>
      <w:r>
        <w:rPr>
          <w:rFonts w:hint="eastAsia" w:ascii="仿宋" w:hAnsi="仿宋" w:eastAsia="仿宋" w:cs="仿宋"/>
          <w:b/>
          <w:bCs/>
          <w:kern w:val="2"/>
          <w:sz w:val="32"/>
          <w:szCs w:val="32"/>
          <w:highlight w:val="none"/>
          <w:lang w:val="en-US" w:eastAsia="zh-CN" w:bidi="ar-SA"/>
        </w:rPr>
        <w:t xml:space="preserve"> </w:t>
      </w:r>
      <w:r>
        <w:rPr>
          <w:rFonts w:hint="eastAsia" w:ascii="仿宋" w:hAnsi="仿宋" w:eastAsia="仿宋" w:cs="仿宋"/>
          <w:sz w:val="32"/>
          <w:szCs w:val="32"/>
          <w:highlight w:val="none"/>
          <w:lang w:val="en-US" w:eastAsia="zh-CN"/>
        </w:rPr>
        <w:t>信用评价评审依据</w:t>
      </w:r>
      <w:r>
        <w:rPr>
          <w:rFonts w:hint="eastAsia" w:ascii="仿宋" w:hAnsi="仿宋" w:eastAsia="仿宋" w:cs="仿宋"/>
          <w:sz w:val="32"/>
          <w:szCs w:val="32"/>
          <w:highlight w:val="none"/>
        </w:rPr>
        <w:t>《自治区建筑市场信用评价管理办法（试行）》规定，</w:t>
      </w:r>
      <w:r>
        <w:rPr>
          <w:rFonts w:hint="eastAsia" w:ascii="仿宋" w:hAnsi="仿宋" w:eastAsia="仿宋" w:cs="仿宋"/>
          <w:sz w:val="32"/>
          <w:szCs w:val="32"/>
          <w:highlight w:val="none"/>
          <w:lang w:val="en-US" w:eastAsia="zh-CN"/>
        </w:rPr>
        <w:t>取</w:t>
      </w:r>
      <w:r>
        <w:rPr>
          <w:rFonts w:hint="eastAsia" w:ascii="仿宋" w:hAnsi="仿宋" w:eastAsia="仿宋" w:cs="仿宋"/>
          <w:sz w:val="32"/>
          <w:szCs w:val="32"/>
          <w:highlight w:val="none"/>
        </w:rPr>
        <w:t>投标企业在自治区住房城乡建设行业信用信息管理平台</w:t>
      </w:r>
      <w:r>
        <w:rPr>
          <w:rFonts w:hint="eastAsia" w:ascii="仿宋" w:hAnsi="仿宋" w:eastAsia="仿宋" w:cs="仿宋"/>
          <w:sz w:val="32"/>
          <w:szCs w:val="32"/>
          <w:highlight w:val="none"/>
          <w:lang w:val="en-US" w:eastAsia="zh-CN"/>
        </w:rPr>
        <w:t>公布的</w:t>
      </w:r>
      <w:r>
        <w:rPr>
          <w:rFonts w:hint="eastAsia" w:ascii="仿宋" w:hAnsi="仿宋" w:eastAsia="仿宋" w:cs="仿宋"/>
          <w:sz w:val="32"/>
          <w:szCs w:val="32"/>
          <w:highlight w:val="none"/>
        </w:rPr>
        <w:t>信用信息得分（以</w:t>
      </w:r>
      <w:r>
        <w:rPr>
          <w:rFonts w:hint="eastAsia" w:ascii="仿宋" w:hAnsi="仿宋" w:eastAsia="仿宋" w:cs="仿宋"/>
          <w:sz w:val="32"/>
          <w:szCs w:val="32"/>
          <w:highlight w:val="none"/>
          <w:lang w:val="en-US" w:eastAsia="zh-CN"/>
        </w:rPr>
        <w:t>投标截止</w:t>
      </w:r>
      <w:r>
        <w:rPr>
          <w:rFonts w:hint="eastAsia" w:ascii="仿宋" w:hAnsi="仿宋" w:eastAsia="仿宋" w:cs="仿宋"/>
          <w:sz w:val="32"/>
          <w:szCs w:val="32"/>
          <w:highlight w:val="none"/>
        </w:rPr>
        <w:t>前一日得分为准）</w:t>
      </w:r>
      <w:r>
        <w:rPr>
          <w:rFonts w:hint="eastAsia" w:ascii="仿宋" w:hAnsi="仿宋" w:eastAsia="仿宋" w:cs="仿宋"/>
          <w:sz w:val="32"/>
          <w:szCs w:val="32"/>
          <w:highlight w:val="none"/>
          <w:lang w:val="en-US" w:eastAsia="zh-CN"/>
        </w:rPr>
        <w:t>除以</w:t>
      </w:r>
      <w:r>
        <w:rPr>
          <w:rFonts w:hint="eastAsia" w:ascii="仿宋" w:hAnsi="仿宋" w:eastAsia="仿宋" w:cs="仿宋"/>
          <w:sz w:val="32"/>
          <w:szCs w:val="32"/>
          <w:highlight w:val="none"/>
        </w:rPr>
        <w:t>《自治区建筑市场信用评价管理办法（试行）》中信用信息评价标准最高分值</w:t>
      </w:r>
      <w:r>
        <w:rPr>
          <w:rFonts w:hint="eastAsia" w:ascii="仿宋" w:hAnsi="仿宋" w:eastAsia="仿宋" w:cs="仿宋"/>
          <w:sz w:val="32"/>
          <w:szCs w:val="32"/>
          <w:highlight w:val="none"/>
          <w:lang w:val="en-US" w:eastAsia="zh-CN"/>
        </w:rPr>
        <w:t>乘以信用评价评审的权重(详见附件1)。</w:t>
      </w:r>
    </w:p>
    <w:p>
      <w:pPr>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二十四</w:t>
      </w:r>
      <w:r>
        <w:rPr>
          <w:rFonts w:hint="eastAsia" w:ascii="仿宋" w:hAnsi="仿宋" w:eastAsia="仿宋" w:cs="仿宋"/>
          <w:b/>
          <w:bCs/>
          <w:color w:val="auto"/>
          <w:sz w:val="32"/>
          <w:szCs w:val="32"/>
          <w:highlight w:val="none"/>
        </w:rPr>
        <w:t xml:space="preserve">条【类似业绩要求1】 </w:t>
      </w:r>
      <w:r>
        <w:rPr>
          <w:rFonts w:hint="eastAsia" w:ascii="仿宋" w:hAnsi="仿宋" w:eastAsia="仿宋" w:cs="仿宋"/>
          <w:color w:val="auto"/>
          <w:sz w:val="32"/>
          <w:szCs w:val="32"/>
          <w:highlight w:val="none"/>
        </w:rPr>
        <w:t xml:space="preserve"> 除技术复杂的建筑工程外，鼓励招标人对简单、通用的建筑工程项目不设置业绩指标。对于符合企业资质级别最低等级的招标项目，不得</w:t>
      </w:r>
      <w:r>
        <w:rPr>
          <w:rFonts w:hint="eastAsia" w:ascii="仿宋" w:hAnsi="仿宋" w:eastAsia="仿宋" w:cs="仿宋"/>
          <w:color w:val="auto"/>
          <w:sz w:val="32"/>
          <w:szCs w:val="32"/>
          <w:highlight w:val="none"/>
          <w:lang w:val="en-US" w:eastAsia="zh-CN"/>
        </w:rPr>
        <w:t>强制</w:t>
      </w:r>
      <w:r>
        <w:rPr>
          <w:rFonts w:hint="eastAsia" w:ascii="仿宋" w:hAnsi="仿宋" w:eastAsia="仿宋" w:cs="仿宋"/>
          <w:color w:val="auto"/>
          <w:sz w:val="32"/>
          <w:szCs w:val="32"/>
          <w:highlight w:val="none"/>
        </w:rPr>
        <w:t>设置企业业绩要求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应要求投标人提供企业业绩或项目负责人业绩其中一类即可</w:t>
      </w:r>
      <w:r>
        <w:rPr>
          <w:rFonts w:hint="eastAsia" w:ascii="仿宋" w:hAnsi="仿宋" w:eastAsia="仿宋" w:cs="仿宋"/>
          <w:color w:val="auto"/>
          <w:sz w:val="32"/>
          <w:szCs w:val="32"/>
          <w:highlight w:val="none"/>
        </w:rPr>
        <w:t>。需要提供类似工程业绩的，应当符合以下要求：</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（一）用于资格评审的类似工程业绩原则上不超过招标项目相关指标的50%（四舍五入取整数，下同）；用于评审加分的类似工程业绩原则上为招标项目相关指标的70%。</w:t>
      </w:r>
    </w:p>
    <w:p>
      <w:pPr>
        <w:pStyle w:val="10"/>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（二）采用经评审的最低投标价法的项目，不得将类似工程业绩作为资格评审条件。</w:t>
      </w:r>
    </w:p>
    <w:p>
      <w:pPr>
        <w:pStyle w:val="10"/>
        <w:ind w:firstLine="643"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 xml:space="preserve">条【类似业绩要求2】 </w:t>
      </w:r>
      <w:r>
        <w:rPr>
          <w:rFonts w:hint="eastAsia" w:ascii="仿宋" w:hAnsi="仿宋" w:eastAsia="仿宋" w:cs="仿宋"/>
          <w:color w:val="auto"/>
          <w:sz w:val="32"/>
          <w:szCs w:val="32"/>
          <w:highlight w:val="none"/>
        </w:rPr>
        <w:t xml:space="preserve"> 招标项目类似业绩相关指标，应当按照以下要求设定：</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（一）房屋建筑工程招标项目采用层数、高度、建筑面积、结构、跨度、单项合同额等指标中的1-2项；</w:t>
      </w:r>
    </w:p>
    <w:p>
      <w:pPr>
        <w:ind w:firstLine="640" w:firstLineChars="200"/>
        <w:rPr>
          <w:color w:val="auto"/>
          <w:highlight w:val="none"/>
        </w:rPr>
      </w:pPr>
      <w:r>
        <w:rPr>
          <w:rFonts w:hint="eastAsia" w:ascii="仿宋" w:hAnsi="仿宋" w:eastAsia="仿宋" w:cs="仿宋"/>
          <w:color w:val="auto"/>
          <w:sz w:val="32"/>
          <w:szCs w:val="32"/>
          <w:highlight w:val="none"/>
        </w:rPr>
        <w:t>（二）市政基础设施工程招标项目采用道路长度或者面积、桥梁长度或者面积或者跨度或者结构、管道直径或者压力、隧道和地下交通工程断面面积、供水能力、供气能力、供热能力、污水处理能力、垃圾处理能力、园林绿化规模以及单项合同额等指标中的1-2项。</w:t>
      </w:r>
    </w:p>
    <w:p>
      <w:pPr>
        <w:pStyle w:val="2"/>
        <w:ind w:left="0" w:leftChars="0" w:firstLine="643" w:firstLineChars="200"/>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rPr>
        <w:t>第二十</w:t>
      </w:r>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条 【</w:t>
      </w:r>
      <w:r>
        <w:rPr>
          <w:rFonts w:hint="eastAsia" w:ascii="仿宋" w:hAnsi="仿宋" w:eastAsia="仿宋" w:cs="仿宋"/>
          <w:b/>
          <w:bCs/>
          <w:sz w:val="32"/>
          <w:szCs w:val="32"/>
          <w:highlight w:val="none"/>
          <w:lang w:val="en-US" w:eastAsia="zh-CN"/>
        </w:rPr>
        <w:t>经济标</w:t>
      </w:r>
      <w:r>
        <w:rPr>
          <w:rFonts w:hint="eastAsia" w:ascii="仿宋" w:hAnsi="仿宋" w:eastAsia="仿宋" w:cs="仿宋"/>
          <w:b/>
          <w:bCs/>
          <w:sz w:val="32"/>
          <w:szCs w:val="32"/>
          <w:highlight w:val="none"/>
        </w:rPr>
        <w:t xml:space="preserve">评审】 </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经济标评审分为报价合理性评审和投标报价评审。</w:t>
      </w:r>
    </w:p>
    <w:p>
      <w:pPr>
        <w:pStyle w:val="2"/>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评标委员会按照《新疆维吾尔自治区房屋建筑和市政基础设施工程施工投标报价合理性评审</w:t>
      </w:r>
      <w:r>
        <w:rPr>
          <w:rFonts w:hint="eastAsia" w:ascii="仿宋" w:hAnsi="仿宋" w:eastAsia="仿宋" w:cs="仿宋"/>
          <w:sz w:val="32"/>
          <w:szCs w:val="32"/>
          <w:highlight w:val="none"/>
          <w:lang w:val="en-US" w:eastAsia="zh-CN"/>
        </w:rPr>
        <w:t>规则（</w:t>
      </w:r>
      <w:r>
        <w:rPr>
          <w:rFonts w:hint="eastAsia" w:ascii="仿宋" w:hAnsi="仿宋" w:eastAsia="仿宋" w:cs="仿宋"/>
          <w:sz w:val="32"/>
          <w:szCs w:val="32"/>
          <w:highlight w:val="none"/>
        </w:rPr>
        <w:t>暂行</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附件4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对各投标报价进行报价合理性评审。</w:t>
      </w:r>
      <w:r>
        <w:rPr>
          <w:rFonts w:hint="eastAsia" w:ascii="仿宋" w:hAnsi="仿宋" w:eastAsia="仿宋" w:cs="仿宋"/>
          <w:sz w:val="32"/>
          <w:szCs w:val="32"/>
          <w:highlight w:val="none"/>
          <w:lang w:val="en-US" w:eastAsia="zh-CN"/>
        </w:rPr>
        <w:t>通过报价合理性评审的投标人进入投标报价评审。</w:t>
      </w:r>
    </w:p>
    <w:p>
      <w:pPr>
        <w:pStyle w:val="2"/>
        <w:ind w:left="0" w:leftChars="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经济标</w:t>
      </w:r>
      <w:r>
        <w:rPr>
          <w:rFonts w:hint="eastAsia" w:ascii="仿宋" w:hAnsi="仿宋" w:eastAsia="仿宋" w:cs="仿宋"/>
          <w:sz w:val="32"/>
          <w:szCs w:val="32"/>
          <w:highlight w:val="none"/>
        </w:rPr>
        <w:t>评审由评标委员会经济类专家主导组织实施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评标委员会应将认定情况作出详细说明记录在案。评标委员会成员无法形成一致意见时，应当按照少数</w:t>
      </w:r>
      <w:bookmarkStart w:id="1" w:name="_GoBack"/>
      <w:bookmarkEnd w:id="1"/>
      <w:r>
        <w:rPr>
          <w:rFonts w:hint="eastAsia" w:ascii="仿宋" w:hAnsi="仿宋" w:eastAsia="仿宋" w:cs="仿宋"/>
          <w:sz w:val="32"/>
          <w:szCs w:val="32"/>
          <w:highlight w:val="none"/>
        </w:rPr>
        <w:t>服从多数的原则进行表决并予记录。</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第二十</w:t>
      </w:r>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rPr>
        <w:t xml:space="preserve">条【澄清说明】 </w:t>
      </w:r>
      <w:r>
        <w:rPr>
          <w:rFonts w:hint="eastAsia" w:ascii="仿宋" w:hAnsi="仿宋" w:eastAsia="仿宋" w:cs="仿宋"/>
          <w:sz w:val="32"/>
          <w:szCs w:val="32"/>
          <w:highlight w:val="none"/>
        </w:rPr>
        <w:t xml:space="preserve"> 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评标委员会不得接受投标人主动提出的澄清、说明或补正。</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第二十</w:t>
      </w: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 xml:space="preserve">条【中标候选人、定标候选人的确定】 </w:t>
      </w:r>
      <w:r>
        <w:rPr>
          <w:rFonts w:hint="eastAsia" w:ascii="仿宋" w:hAnsi="仿宋" w:eastAsia="仿宋" w:cs="仿宋"/>
          <w:sz w:val="32"/>
          <w:szCs w:val="32"/>
          <w:highlight w:val="none"/>
        </w:rPr>
        <w:t xml:space="preserve"> 评标委员会应当向招标人提交书面评标报告，并推荐不超过3个有排序的中标候选人；采取评定分离的项目推荐3-5个不排序的定标候选人，由招标人</w:t>
      </w:r>
      <w:r>
        <w:rPr>
          <w:rFonts w:hint="eastAsia" w:ascii="仿宋" w:hAnsi="仿宋" w:eastAsia="仿宋" w:cs="仿宋"/>
          <w:sz w:val="32"/>
          <w:szCs w:val="32"/>
          <w:highlight w:val="none"/>
          <w:lang w:val="en-US" w:eastAsia="zh-CN"/>
        </w:rPr>
        <w:t>按照招标文件公布的定标方法</w:t>
      </w:r>
      <w:r>
        <w:rPr>
          <w:rFonts w:hint="eastAsia" w:ascii="仿宋" w:hAnsi="仿宋" w:eastAsia="仿宋" w:cs="仿宋"/>
          <w:sz w:val="32"/>
          <w:szCs w:val="32"/>
          <w:highlight w:val="none"/>
        </w:rPr>
        <w:t>确定中标人。投标人评标总得分相同时，按照其投标报价由低至高排序。</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评标专家签署评标报告前，招标人、招标代理机构应当对评标结果进行复核。</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第二十</w:t>
      </w: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 xml:space="preserve">条【参照执行本办法的情形】 </w:t>
      </w:r>
      <w:r>
        <w:rPr>
          <w:rFonts w:hint="eastAsia" w:ascii="仿宋" w:hAnsi="仿宋" w:eastAsia="仿宋" w:cs="仿宋"/>
          <w:sz w:val="32"/>
          <w:szCs w:val="32"/>
          <w:highlight w:val="none"/>
        </w:rPr>
        <w:t xml:space="preserve"> 依法可以不进行招标的建筑工程招标评标活动，可参照本办法执行。</w:t>
      </w:r>
    </w:p>
    <w:p>
      <w:pPr>
        <w:ind w:firstLine="643" w:firstLineChars="200"/>
        <w:rPr>
          <w:rFonts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十条【发布规定】</w:t>
      </w:r>
      <w:r>
        <w:rPr>
          <w:rFonts w:hint="eastAsia" w:ascii="仿宋" w:hAnsi="仿宋" w:eastAsia="仿宋" w:cs="仿宋"/>
          <w:sz w:val="32"/>
          <w:szCs w:val="32"/>
          <w:highlight w:val="none"/>
        </w:rPr>
        <w:t xml:space="preserve">  本办法自202 年 月 日起施行，有效期至202 年 月 日止。《新疆维吾尔自治区建筑工程施工评标规则》（新建建[2010]7号）同时废止。</w:t>
      </w:r>
    </w:p>
    <w:p>
      <w:pPr>
        <w:rPr>
          <w:rFonts w:ascii="仿宋" w:hAnsi="仿宋" w:eastAsia="仿宋" w:cs="仿宋"/>
          <w:sz w:val="32"/>
          <w:szCs w:val="32"/>
          <w:highlight w:val="none"/>
        </w:rPr>
      </w:pPr>
    </w:p>
    <w:p>
      <w:pPr>
        <w:rPr>
          <w:rFonts w:ascii="仿宋" w:hAnsi="仿宋" w:eastAsia="仿宋" w:cs="仿宋"/>
          <w:sz w:val="32"/>
          <w:szCs w:val="32"/>
          <w:highlight w:val="none"/>
        </w:rPr>
      </w:pP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附件：1、综合评估法</w:t>
      </w:r>
    </w:p>
    <w:p>
      <w:pPr>
        <w:ind w:firstLine="1600" w:firstLineChars="500"/>
        <w:rPr>
          <w:rFonts w:ascii="仿宋" w:hAnsi="仿宋" w:eastAsia="仿宋" w:cs="仿宋"/>
          <w:sz w:val="32"/>
          <w:szCs w:val="32"/>
          <w:highlight w:val="none"/>
        </w:rPr>
      </w:pPr>
      <w:r>
        <w:rPr>
          <w:rFonts w:hint="eastAsia" w:ascii="仿宋" w:hAnsi="仿宋" w:eastAsia="仿宋" w:cs="仿宋"/>
          <w:sz w:val="32"/>
          <w:szCs w:val="32"/>
          <w:highlight w:val="none"/>
        </w:rPr>
        <w:t>2、经评审合理低价法</w:t>
      </w:r>
    </w:p>
    <w:p>
      <w:pPr>
        <w:ind w:firstLine="1600" w:firstLineChars="500"/>
        <w:rPr>
          <w:rFonts w:ascii="仿宋" w:hAnsi="仿宋" w:eastAsia="仿宋" w:cs="仿宋"/>
          <w:sz w:val="32"/>
          <w:szCs w:val="32"/>
          <w:highlight w:val="none"/>
        </w:rPr>
      </w:pPr>
      <w:r>
        <w:rPr>
          <w:rFonts w:hint="eastAsia" w:ascii="仿宋" w:hAnsi="仿宋" w:eastAsia="仿宋" w:cs="仿宋"/>
          <w:sz w:val="32"/>
          <w:szCs w:val="32"/>
          <w:highlight w:val="none"/>
        </w:rPr>
        <w:t>3、定性评审法</w:t>
      </w:r>
    </w:p>
    <w:p>
      <w:pPr>
        <w:ind w:left="1916" w:leftChars="760" w:hanging="320" w:hanging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bookmarkStart w:id="0" w:name="_Toc2753"/>
      <w:r>
        <w:rPr>
          <w:rFonts w:hint="eastAsia" w:ascii="仿宋" w:hAnsi="仿宋" w:eastAsia="仿宋" w:cs="仿宋"/>
          <w:sz w:val="32"/>
          <w:szCs w:val="32"/>
          <w:highlight w:val="none"/>
          <w:lang w:val="en-US" w:eastAsia="zh-CN"/>
        </w:rPr>
        <w:t>新疆维吾尔自治区</w:t>
      </w:r>
      <w:r>
        <w:rPr>
          <w:rFonts w:hint="eastAsia" w:ascii="仿宋" w:hAnsi="仿宋" w:eastAsia="仿宋" w:cs="仿宋"/>
          <w:sz w:val="32"/>
          <w:szCs w:val="32"/>
          <w:highlight w:val="none"/>
        </w:rPr>
        <w:t>房屋建筑和市政基础设施工程施工投标报价</w:t>
      </w:r>
      <w:r>
        <w:rPr>
          <w:rFonts w:hint="eastAsia" w:ascii="仿宋" w:hAnsi="仿宋" w:eastAsia="仿宋" w:cs="仿宋"/>
          <w:sz w:val="32"/>
          <w:szCs w:val="32"/>
          <w:highlight w:val="none"/>
          <w:lang w:val="en-US" w:eastAsia="zh-CN"/>
        </w:rPr>
        <w:t>合理性</w:t>
      </w:r>
      <w:r>
        <w:rPr>
          <w:rFonts w:hint="eastAsia" w:ascii="仿宋" w:hAnsi="仿宋" w:eastAsia="仿宋" w:cs="仿宋"/>
          <w:sz w:val="32"/>
          <w:szCs w:val="32"/>
          <w:highlight w:val="none"/>
        </w:rPr>
        <w:t>评审</w:t>
      </w:r>
      <w:bookmarkEnd w:id="0"/>
      <w:r>
        <w:rPr>
          <w:rFonts w:hint="eastAsia" w:ascii="仿宋" w:hAnsi="仿宋" w:eastAsia="仿宋" w:cs="仿宋"/>
          <w:sz w:val="32"/>
          <w:szCs w:val="32"/>
          <w:highlight w:val="none"/>
          <w:lang w:val="en-US" w:eastAsia="zh-CN"/>
        </w:rPr>
        <w:t>规则（</w:t>
      </w:r>
      <w:r>
        <w:rPr>
          <w:rFonts w:hint="eastAsia" w:ascii="仿宋" w:hAnsi="仿宋" w:eastAsia="仿宋" w:cs="仿宋"/>
          <w:sz w:val="32"/>
          <w:szCs w:val="32"/>
          <w:highlight w:val="none"/>
        </w:rPr>
        <w:t>暂行</w:t>
      </w:r>
      <w:r>
        <w:rPr>
          <w:rFonts w:hint="eastAsia" w:ascii="仿宋" w:hAnsi="仿宋" w:eastAsia="仿宋" w:cs="仿宋"/>
          <w:sz w:val="32"/>
          <w:szCs w:val="32"/>
          <w:highlight w:val="none"/>
          <w:lang w:val="en-US" w:eastAsia="zh-CN"/>
        </w:rPr>
        <w:t>）</w:t>
      </w:r>
    </w:p>
    <w:p>
      <w:pPr>
        <w:pStyle w:val="2"/>
        <w:rPr>
          <w:rFonts w:hint="eastAsia" w:ascii="仿宋" w:hAnsi="仿宋" w:eastAsia="仿宋" w:cs="仿宋"/>
          <w:sz w:val="32"/>
          <w:szCs w:val="32"/>
          <w:highlight w:val="none"/>
          <w:lang w:val="en-US" w:eastAsia="zh-CN"/>
        </w:rPr>
      </w:pPr>
    </w:p>
    <w:p>
      <w:pPr>
        <w:pStyle w:val="2"/>
        <w:ind w:left="0" w:leftChars="0" w:firstLine="0" w:firstLineChars="0"/>
        <w:jc w:val="righ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新疆维吾尔自治区住房和城乡建设厅</w:t>
      </w:r>
    </w:p>
    <w:p>
      <w:pPr>
        <w:pStyle w:val="2"/>
        <w:ind w:left="0" w:leftChars="0" w:firstLine="0" w:firstLineChars="0"/>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2022年 月  日</w:t>
      </w:r>
    </w:p>
    <w:p>
      <w:pPr>
        <w:jc w:val="left"/>
        <w:rPr>
          <w:rFonts w:hint="default" w:ascii="仿宋" w:hAnsi="仿宋" w:eastAsia="仿宋" w:cs="仿宋"/>
          <w:sz w:val="32"/>
          <w:szCs w:val="32"/>
          <w:highlight w:val="none"/>
          <w:lang w:val="en-US" w:eastAsia="zh-CN"/>
        </w:rPr>
      </w:pPr>
    </w:p>
    <w:p>
      <w:pPr>
        <w:ind w:firstLine="640" w:firstLineChars="200"/>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pStyle w:val="2"/>
        <w:jc w:val="left"/>
        <w:rPr>
          <w:rFonts w:ascii="仿宋" w:hAnsi="仿宋" w:eastAsia="仿宋" w:cs="仿宋"/>
          <w:sz w:val="32"/>
          <w:szCs w:val="32"/>
          <w:highlight w:val="none"/>
        </w:rPr>
      </w:pPr>
    </w:p>
    <w:p>
      <w:pPr>
        <w:pStyle w:val="2"/>
        <w:jc w:val="left"/>
        <w:rPr>
          <w:rFonts w:ascii="仿宋" w:hAnsi="仿宋" w:eastAsia="仿宋" w:cs="仿宋"/>
          <w:sz w:val="32"/>
          <w:szCs w:val="32"/>
          <w:highlight w:val="none"/>
        </w:rPr>
      </w:pPr>
    </w:p>
    <w:p>
      <w:pPr>
        <w:pStyle w:val="2"/>
        <w:jc w:val="left"/>
        <w:rPr>
          <w:rFonts w:ascii="仿宋" w:hAnsi="仿宋" w:eastAsia="仿宋" w:cs="仿宋"/>
          <w:sz w:val="32"/>
          <w:szCs w:val="32"/>
          <w:highlight w:val="none"/>
        </w:rPr>
      </w:pPr>
    </w:p>
    <w:p>
      <w:pPr>
        <w:pStyle w:val="2"/>
        <w:jc w:val="left"/>
        <w:rPr>
          <w:rFonts w:ascii="仿宋" w:hAnsi="仿宋" w:eastAsia="仿宋" w:cs="仿宋"/>
          <w:sz w:val="32"/>
          <w:szCs w:val="32"/>
          <w:highlight w:val="none"/>
        </w:rPr>
      </w:pPr>
    </w:p>
    <w:p>
      <w:pPr>
        <w:pStyle w:val="2"/>
        <w:jc w:val="left"/>
        <w:rPr>
          <w:rFonts w:ascii="仿宋" w:hAnsi="仿宋" w:eastAsia="仿宋" w:cs="仿宋"/>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附件1：</w:t>
      </w:r>
    </w:p>
    <w:p>
      <w:pPr>
        <w:widowControl/>
        <w:shd w:val="clear" w:color="auto" w:fill="FFFFFF"/>
        <w:jc w:val="center"/>
        <w:rPr>
          <w:rFonts w:hint="eastAsia" w:ascii="方正小标宋简体" w:hAnsi="仿宋_GB2312" w:eastAsia="方正小标宋简体" w:cs="Times New Roman"/>
          <w:kern w:val="0"/>
          <w:sz w:val="44"/>
          <w:szCs w:val="44"/>
          <w:highlight w:val="none"/>
        </w:rPr>
      </w:pPr>
      <w:r>
        <w:rPr>
          <w:rFonts w:hint="eastAsia" w:ascii="方正小标宋简体" w:hAnsi="仿宋_GB2312" w:eastAsia="方正小标宋简体" w:cs="Times New Roman"/>
          <w:kern w:val="0"/>
          <w:sz w:val="44"/>
          <w:szCs w:val="44"/>
          <w:highlight w:val="none"/>
        </w:rPr>
        <w:t>综合评估法</w:t>
      </w:r>
    </w:p>
    <w:p>
      <w:pPr>
        <w:numPr>
          <w:ilvl w:val="0"/>
          <w:numId w:val="0"/>
        </w:numPr>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适用范围</w:t>
      </w:r>
    </w:p>
    <w:p>
      <w:pPr>
        <w:pStyle w:val="7"/>
        <w:spacing w:line="54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技术特别复杂</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具有特殊专业技术要求的建筑工程施工项目。</w:t>
      </w:r>
    </w:p>
    <w:p>
      <w:pPr>
        <w:widowControl/>
        <w:shd w:val="clear" w:color="auto" w:fill="FFFFFF"/>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符合下列情形之一的，应当采用综合评估法：</w:t>
      </w:r>
    </w:p>
    <w:p>
      <w:pPr>
        <w:widowControl/>
        <w:numPr>
          <w:ilvl w:val="0"/>
          <w:numId w:val="0"/>
        </w:numPr>
        <w:shd w:val="clear" w:color="auto" w:fill="FFFFFF"/>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1、施工总承包工程单项最高投标限价超过2000万元（含）的；</w:t>
      </w:r>
    </w:p>
    <w:p>
      <w:pPr>
        <w:widowControl/>
        <w:numPr>
          <w:ilvl w:val="0"/>
          <w:numId w:val="0"/>
        </w:numPr>
        <w:shd w:val="clear" w:color="auto" w:fill="FFFFFF"/>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2、专业承包工程单项最高投标限价超过800万元（含）的。</w:t>
      </w:r>
    </w:p>
    <w:p>
      <w:pPr>
        <w:pStyle w:val="7"/>
        <w:spacing w:line="54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评审程序与方法</w:t>
      </w:r>
    </w:p>
    <w:p>
      <w:pPr>
        <w:pStyle w:val="7"/>
        <w:spacing w:line="540" w:lineRule="exact"/>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初步评审</w:t>
      </w:r>
    </w:p>
    <w:p>
      <w:pPr>
        <w:pStyle w:val="7"/>
        <w:spacing w:line="54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按照本办法第十五条至第十七条及形式、资格和</w:t>
      </w:r>
      <w:r>
        <w:rPr>
          <w:rFonts w:hint="eastAsia" w:ascii="仿宋" w:hAnsi="仿宋" w:eastAsia="仿宋" w:cs="仿宋"/>
          <w:sz w:val="32"/>
          <w:szCs w:val="32"/>
          <w:highlight w:val="none"/>
          <w:lang w:val="en-US" w:eastAsia="zh-CN"/>
        </w:rPr>
        <w:t>重大偏差评审标准（</w:t>
      </w:r>
      <w:r>
        <w:rPr>
          <w:rFonts w:hint="eastAsia" w:ascii="仿宋" w:hAnsi="仿宋" w:eastAsia="仿宋" w:cs="仿宋"/>
          <w:sz w:val="32"/>
          <w:szCs w:val="32"/>
          <w:highlight w:val="none"/>
        </w:rPr>
        <w:t>附表</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1-2、1-3）</w:t>
      </w:r>
      <w:r>
        <w:rPr>
          <w:rFonts w:hint="eastAsia" w:ascii="仿宋" w:hAnsi="仿宋" w:eastAsia="仿宋" w:cs="仿宋"/>
          <w:sz w:val="32"/>
          <w:szCs w:val="32"/>
          <w:highlight w:val="none"/>
        </w:rPr>
        <w:t>规定，对投标文件进行评审，对不符合相关规定和要求的投标文件予以否决。</w:t>
      </w:r>
    </w:p>
    <w:p>
      <w:pPr>
        <w:pStyle w:val="7"/>
        <w:spacing w:line="54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采取资格预审的，按照本办法第五条至第六条以及相关评审表格和招标文件</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规定进行评审。</w:t>
      </w:r>
    </w:p>
    <w:p>
      <w:pPr>
        <w:pStyle w:val="7"/>
        <w:spacing w:line="540" w:lineRule="exact"/>
        <w:ind w:firstLine="729" w:firstLineChars="228"/>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详细评审</w:t>
      </w:r>
    </w:p>
    <w:p>
      <w:pPr>
        <w:pStyle w:val="7"/>
        <w:spacing w:line="54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通过初步评审的投标人进入详细评审，</w:t>
      </w:r>
      <w:r>
        <w:rPr>
          <w:rFonts w:hint="eastAsia" w:ascii="仿宋" w:hAnsi="仿宋" w:eastAsia="仿宋" w:cs="仿宋"/>
          <w:sz w:val="32"/>
          <w:szCs w:val="32"/>
          <w:highlight w:val="none"/>
        </w:rPr>
        <w:t>评审程序如下：</w:t>
      </w:r>
    </w:p>
    <w:p>
      <w:pPr>
        <w:pStyle w:val="7"/>
        <w:numPr>
          <w:ilvl w:val="0"/>
          <w:numId w:val="0"/>
        </w:numPr>
        <w:spacing w:line="54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1、商务标评审</w:t>
      </w:r>
    </w:p>
    <w:p>
      <w:pPr>
        <w:pStyle w:val="7"/>
        <w:numPr>
          <w:ilvl w:val="0"/>
          <w:numId w:val="0"/>
        </w:num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按照本办法商务标评审</w:t>
      </w:r>
      <w:r>
        <w:rPr>
          <w:rFonts w:hint="eastAsia" w:ascii="仿宋" w:hAnsi="仿宋" w:eastAsia="仿宋" w:cs="仿宋"/>
          <w:b w:val="0"/>
          <w:bCs w:val="0"/>
          <w:sz w:val="32"/>
          <w:szCs w:val="32"/>
          <w:highlight w:val="none"/>
          <w:lang w:val="en-US" w:eastAsia="zh-CN"/>
        </w:rPr>
        <w:t>标准（附表1-4）的规定</w:t>
      </w:r>
      <w:r>
        <w:rPr>
          <w:rFonts w:hint="eastAsia" w:ascii="仿宋" w:hAnsi="仿宋" w:eastAsia="仿宋" w:cs="仿宋"/>
          <w:sz w:val="32"/>
          <w:szCs w:val="32"/>
          <w:highlight w:val="none"/>
          <w:lang w:val="en-US" w:eastAsia="zh-CN"/>
        </w:rPr>
        <w:t>进行评审。</w:t>
      </w:r>
    </w:p>
    <w:p>
      <w:pPr>
        <w:pStyle w:val="7"/>
        <w:numPr>
          <w:ilvl w:val="0"/>
          <w:numId w:val="0"/>
        </w:numPr>
        <w:spacing w:line="54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2、技术标评审</w:t>
      </w:r>
    </w:p>
    <w:p>
      <w:pPr>
        <w:pStyle w:val="7"/>
        <w:spacing w:line="54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1.1、技术标评审由评标委员会按照本办法第十九条及技术标评审标准（附表1-5、1-6）的规定进行评审。</w:t>
      </w:r>
    </w:p>
    <w:p>
      <w:pPr>
        <w:pStyle w:val="7"/>
        <w:spacing w:line="54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1.2、施工总承包单项最高投标限价超过5000万元以上、专业承包单项最高投标限价超过1500万元以上的项目，技术标可以采用合格制评审，也可以采用计分制评审的方式。</w:t>
      </w:r>
    </w:p>
    <w:p>
      <w:pPr>
        <w:pStyle w:val="7"/>
        <w:spacing w:line="54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1.3、施工总承包单项最高投标限价在5000万元以下的、专业承包单项最高投标限价在1500万元以下的项目，技术标原则上采用合格制评审。</w:t>
      </w:r>
    </w:p>
    <w:p>
      <w:pPr>
        <w:ind w:firstLine="732" w:firstLineChars="228"/>
        <w:rPr>
          <w:rFonts w:ascii="仿宋" w:hAnsi="仿宋" w:eastAsia="仿宋" w:cs="仿宋"/>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、企业诚信评审</w:t>
      </w:r>
    </w:p>
    <w:p>
      <w:pPr>
        <w:ind w:firstLine="729" w:firstLineChars="228"/>
        <w:rPr>
          <w:rFonts w:ascii="仿宋" w:hAnsi="仿宋" w:eastAsia="仿宋" w:cs="仿宋"/>
          <w:sz w:val="32"/>
          <w:szCs w:val="32"/>
          <w:highlight w:val="none"/>
        </w:rPr>
      </w:pPr>
      <w:r>
        <w:rPr>
          <w:rFonts w:hint="eastAsia" w:ascii="仿宋" w:hAnsi="仿宋" w:eastAsia="仿宋" w:cs="仿宋"/>
          <w:sz w:val="32"/>
          <w:szCs w:val="32"/>
          <w:highlight w:val="none"/>
        </w:rPr>
        <w:t>企业信用得分=A÷M×10</w:t>
      </w:r>
    </w:p>
    <w:p>
      <w:pPr>
        <w:ind w:firstLine="729" w:firstLineChars="228"/>
        <w:rPr>
          <w:rFonts w:hint="eastAsia"/>
          <w:highlight w:val="none"/>
          <w:lang w:val="en-US" w:eastAsia="zh-CN"/>
        </w:rPr>
      </w:pPr>
      <w:r>
        <w:rPr>
          <w:rFonts w:hint="eastAsia" w:ascii="仿宋" w:hAnsi="仿宋" w:eastAsia="仿宋" w:cs="仿宋"/>
          <w:sz w:val="32"/>
          <w:szCs w:val="32"/>
          <w:highlight w:val="none"/>
        </w:rPr>
        <w:t>根据《自治区建筑市场信用评价管理办法（试行）》规定，A为投标企业在自治区住房城乡建设行业信用信息管理平台</w:t>
      </w:r>
      <w:r>
        <w:rPr>
          <w:rFonts w:hint="eastAsia" w:ascii="仿宋" w:hAnsi="仿宋" w:eastAsia="仿宋" w:cs="仿宋"/>
          <w:sz w:val="32"/>
          <w:szCs w:val="32"/>
          <w:highlight w:val="none"/>
          <w:lang w:val="en-US" w:eastAsia="zh-CN"/>
        </w:rPr>
        <w:t>公布的</w:t>
      </w:r>
      <w:r>
        <w:rPr>
          <w:rFonts w:hint="eastAsia" w:ascii="仿宋" w:hAnsi="仿宋" w:eastAsia="仿宋" w:cs="仿宋"/>
          <w:sz w:val="32"/>
          <w:szCs w:val="32"/>
          <w:highlight w:val="none"/>
        </w:rPr>
        <w:t>信用信息得分（以</w:t>
      </w:r>
      <w:r>
        <w:rPr>
          <w:rFonts w:hint="eastAsia" w:ascii="仿宋" w:hAnsi="仿宋" w:eastAsia="仿宋" w:cs="仿宋"/>
          <w:sz w:val="32"/>
          <w:szCs w:val="32"/>
          <w:highlight w:val="none"/>
          <w:lang w:val="en-US" w:eastAsia="zh-CN"/>
        </w:rPr>
        <w:t>投标截止</w:t>
      </w:r>
      <w:r>
        <w:rPr>
          <w:rFonts w:hint="eastAsia" w:ascii="仿宋" w:hAnsi="仿宋" w:eastAsia="仿宋" w:cs="仿宋"/>
          <w:sz w:val="32"/>
          <w:szCs w:val="32"/>
          <w:highlight w:val="none"/>
        </w:rPr>
        <w:t>前一日得分为准），M为《自治区建筑市场信用评价管理办法（试行）》中信用信息评价标准最高分值（其中基本信用信息最高分值</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0分、良好信用信息最高分值70分，合计1</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0分。）</w:t>
      </w:r>
    </w:p>
    <w:p>
      <w:pPr>
        <w:pStyle w:val="7"/>
        <w:numPr>
          <w:ilvl w:val="0"/>
          <w:numId w:val="1"/>
        </w:numPr>
        <w:spacing w:line="540" w:lineRule="exact"/>
        <w:ind w:left="0" w:leftChars="0"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经济标评审</w:t>
      </w:r>
    </w:p>
    <w:p>
      <w:pPr>
        <w:pStyle w:val="7"/>
        <w:numPr>
          <w:ilvl w:val="0"/>
          <w:numId w:val="0"/>
        </w:numPr>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经济标</w:t>
      </w:r>
      <w:r>
        <w:rPr>
          <w:rFonts w:hint="eastAsia" w:ascii="仿宋" w:hAnsi="仿宋" w:eastAsia="仿宋" w:cs="仿宋"/>
          <w:sz w:val="32"/>
          <w:szCs w:val="32"/>
          <w:highlight w:val="none"/>
        </w:rPr>
        <w:t>评审分为报价合理性评审</w:t>
      </w:r>
      <w:r>
        <w:rPr>
          <w:rFonts w:hint="eastAsia" w:ascii="仿宋" w:hAnsi="仿宋" w:eastAsia="仿宋" w:cs="仿宋"/>
          <w:sz w:val="32"/>
          <w:szCs w:val="32"/>
          <w:highlight w:val="none"/>
          <w:lang w:val="en-US" w:eastAsia="zh-CN"/>
        </w:rPr>
        <w:t>和经济标计分评审。</w:t>
      </w:r>
    </w:p>
    <w:p>
      <w:pPr>
        <w:pStyle w:val="7"/>
        <w:spacing w:line="54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4.1 报价合理性评审</w:t>
      </w:r>
    </w:p>
    <w:p>
      <w:pPr>
        <w:pStyle w:val="7"/>
        <w:spacing w:line="540" w:lineRule="exact"/>
        <w:ind w:left="0" w:leftChars="0" w:firstLine="640" w:firstLineChars="200"/>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评标委员会应在经济标计分评审前，按照《新疆维吾尔自治区房屋建筑和市政基础设施工程施工投标报价合理性评审</w:t>
      </w:r>
      <w:r>
        <w:rPr>
          <w:rFonts w:hint="eastAsia" w:ascii="仿宋" w:hAnsi="仿宋" w:eastAsia="仿宋" w:cs="仿宋"/>
          <w:sz w:val="32"/>
          <w:szCs w:val="32"/>
          <w:highlight w:val="none"/>
          <w:lang w:val="en-US" w:eastAsia="zh-CN"/>
        </w:rPr>
        <w:t>规则（</w:t>
      </w:r>
      <w:r>
        <w:rPr>
          <w:rFonts w:hint="eastAsia" w:ascii="仿宋" w:hAnsi="仿宋" w:eastAsia="仿宋" w:cs="仿宋"/>
          <w:sz w:val="32"/>
          <w:szCs w:val="32"/>
          <w:highlight w:val="none"/>
        </w:rPr>
        <w:t>暂行</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》对各投标报价进行报价合理性评审。</w:t>
      </w:r>
      <w:r>
        <w:rPr>
          <w:rFonts w:hint="eastAsia" w:ascii="仿宋" w:hAnsi="仿宋" w:eastAsia="仿宋" w:cs="仿宋"/>
          <w:sz w:val="32"/>
          <w:szCs w:val="32"/>
          <w:highlight w:val="none"/>
          <w:lang w:val="en-US" w:eastAsia="zh-CN"/>
        </w:rPr>
        <w:t>通过报价合理性评审的投标人进入经济标计分评审。</w:t>
      </w:r>
    </w:p>
    <w:p>
      <w:pPr>
        <w:pStyle w:val="7"/>
        <w:spacing w:line="540" w:lineRule="exact"/>
        <w:ind w:firstLine="729" w:firstLineChars="228"/>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4.2 经济标计分评审</w:t>
      </w:r>
    </w:p>
    <w:p>
      <w:pPr>
        <w:pStyle w:val="7"/>
        <w:spacing w:line="540" w:lineRule="exact"/>
        <w:ind w:firstLine="729" w:firstLineChars="228"/>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4.2.1 </w:t>
      </w:r>
      <w:r>
        <w:rPr>
          <w:rFonts w:hint="eastAsia" w:ascii="仿宋" w:hAnsi="仿宋" w:eastAsia="仿宋" w:cs="仿宋"/>
          <w:sz w:val="32"/>
          <w:szCs w:val="32"/>
          <w:highlight w:val="none"/>
        </w:rPr>
        <w:t>报价修正</w:t>
      </w:r>
    </w:p>
    <w:p>
      <w:pPr>
        <w:pStyle w:val="30"/>
        <w:ind w:firstLine="640" w:firstLineChars="200"/>
        <w:rPr>
          <w:rFonts w:ascii="Times New Roman" w:hAnsi="Times New Roman" w:eastAsia="仿宋" w:cs="Times New Roman"/>
          <w:sz w:val="32"/>
          <w:szCs w:val="32"/>
          <w:highlight w:val="none"/>
        </w:rPr>
      </w:pPr>
      <w:r>
        <w:rPr>
          <w:rFonts w:ascii="Times New Roman" w:hAnsi="仿宋" w:eastAsia="仿宋" w:cs="Times New Roman"/>
          <w:sz w:val="32"/>
          <w:szCs w:val="32"/>
          <w:highlight w:val="none"/>
        </w:rPr>
        <w:t>评标委员会对清标中发现投标报价存在算术性错误的，应按以下原则对投标报价进行修正：</w:t>
      </w:r>
    </w:p>
    <w:p>
      <w:pPr>
        <w:pStyle w:val="3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一是</w:t>
      </w:r>
      <w:r>
        <w:rPr>
          <w:rFonts w:ascii="Times New Roman" w:hAnsi="仿宋" w:eastAsia="仿宋" w:cs="Times New Roman"/>
          <w:sz w:val="32"/>
          <w:szCs w:val="32"/>
          <w:highlight w:val="none"/>
        </w:rPr>
        <w:t>当综合单价与工程量（或计算基础金额与费率）的乘积与合价不一致时，以综合单价（或费率）为准修正合价及总价；</w:t>
      </w:r>
    </w:p>
    <w:p>
      <w:pPr>
        <w:pStyle w:val="30"/>
        <w:ind w:firstLine="640" w:firstLineChars="200"/>
        <w:rPr>
          <w:rFonts w:ascii="Times New Roman" w:hAnsi="Times New Roman" w:eastAsia="仿宋" w:cs="Times New Roman"/>
          <w:sz w:val="32"/>
          <w:szCs w:val="32"/>
          <w:highlight w:val="none"/>
        </w:rPr>
      </w:pPr>
      <w:r>
        <w:rPr>
          <w:rFonts w:hint="eastAsia" w:ascii="Times New Roman" w:hAnsi="仿宋" w:eastAsia="仿宋" w:cs="Times New Roman"/>
          <w:sz w:val="32"/>
          <w:szCs w:val="32"/>
          <w:highlight w:val="none"/>
          <w:lang w:val="en-US" w:eastAsia="zh-CN"/>
        </w:rPr>
        <w:t>二是</w:t>
      </w:r>
      <w:r>
        <w:rPr>
          <w:rFonts w:ascii="Times New Roman" w:hAnsi="仿宋" w:eastAsia="仿宋" w:cs="Times New Roman"/>
          <w:sz w:val="32"/>
          <w:szCs w:val="32"/>
          <w:highlight w:val="none"/>
        </w:rPr>
        <w:t>当各单项金额相加与其合计金额不一致时，以各单项金额为准修正相应合计金额及总价。</w:t>
      </w:r>
    </w:p>
    <w:p>
      <w:pPr>
        <w:pStyle w:val="7"/>
        <w:spacing w:line="540" w:lineRule="exact"/>
        <w:ind w:firstLine="729" w:firstLineChars="228"/>
        <w:rPr>
          <w:rFonts w:ascii="Times New Roman" w:hAnsi="仿宋" w:eastAsia="仿宋" w:cs="Times New Roman"/>
          <w:sz w:val="32"/>
          <w:szCs w:val="32"/>
          <w:highlight w:val="none"/>
        </w:rPr>
      </w:pPr>
      <w:r>
        <w:rPr>
          <w:rFonts w:ascii="Times New Roman" w:hAnsi="仿宋" w:eastAsia="仿宋" w:cs="Times New Roman"/>
          <w:sz w:val="32"/>
          <w:szCs w:val="32"/>
          <w:highlight w:val="none"/>
        </w:rPr>
        <w:t>评标委员会修正后的价格经投标人书面确认后具有约束力</w:t>
      </w:r>
      <w:r>
        <w:rPr>
          <w:rFonts w:hint="eastAsia" w:ascii="Times New Roman" w:hAnsi="仿宋" w:eastAsia="仿宋" w:cs="Times New Roman"/>
          <w:sz w:val="32"/>
          <w:szCs w:val="32"/>
          <w:highlight w:val="none"/>
          <w:lang w:eastAsia="zh-CN"/>
        </w:rPr>
        <w:t>，</w:t>
      </w:r>
      <w:r>
        <w:rPr>
          <w:rFonts w:hint="eastAsia" w:ascii="Times New Roman" w:hAnsi="仿宋" w:eastAsia="仿宋" w:cs="Times New Roman"/>
          <w:sz w:val="32"/>
          <w:szCs w:val="32"/>
          <w:highlight w:val="none"/>
          <w:lang w:val="en-US" w:eastAsia="zh-CN"/>
        </w:rPr>
        <w:t>投标报价得分计算以修正后的报价为准（以后所称投标报价均为修正后的报价）</w:t>
      </w:r>
      <w:r>
        <w:rPr>
          <w:rFonts w:ascii="Times New Roman" w:hAnsi="仿宋" w:eastAsia="仿宋" w:cs="Times New Roman"/>
          <w:sz w:val="32"/>
          <w:szCs w:val="32"/>
          <w:highlight w:val="none"/>
        </w:rPr>
        <w:t>。投标人不接受修正价格或修正后价格高于招标控制价的，评标委员会应否决其投标。</w:t>
      </w:r>
    </w:p>
    <w:p>
      <w:pPr>
        <w:pStyle w:val="7"/>
        <w:spacing w:line="540" w:lineRule="exact"/>
        <w:ind w:firstLine="729" w:firstLineChars="228"/>
        <w:rPr>
          <w:rFonts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xml:space="preserve">4.2.2 </w:t>
      </w:r>
      <w:r>
        <w:rPr>
          <w:rFonts w:hint="eastAsia" w:ascii="仿宋" w:hAnsi="仿宋" w:eastAsia="仿宋" w:cs="仿宋"/>
          <w:b w:val="0"/>
          <w:bCs w:val="0"/>
          <w:sz w:val="32"/>
          <w:szCs w:val="32"/>
          <w:highlight w:val="none"/>
        </w:rPr>
        <w:t>计算评标基准价</w:t>
      </w:r>
    </w:p>
    <w:p>
      <w:pPr>
        <w:pStyle w:val="7"/>
        <w:spacing w:line="540" w:lineRule="exact"/>
        <w:ind w:firstLine="729" w:firstLineChars="228"/>
        <w:rPr>
          <w:rFonts w:ascii="仿宋" w:hAnsi="仿宋" w:eastAsia="仿宋" w:cs="仿宋"/>
          <w:sz w:val="32"/>
          <w:szCs w:val="32"/>
          <w:highlight w:val="none"/>
        </w:rPr>
      </w:pPr>
      <w:r>
        <w:rPr>
          <w:rFonts w:hint="eastAsia" w:ascii="仿宋" w:hAnsi="仿宋" w:eastAsia="仿宋" w:cs="仿宋"/>
          <w:b w:val="0"/>
          <w:bCs w:val="0"/>
          <w:sz w:val="32"/>
          <w:szCs w:val="32"/>
          <w:highlight w:val="none"/>
          <w:lang w:val="en-US" w:eastAsia="zh-CN"/>
        </w:rPr>
        <w:t>4.2.2.</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招标控制价部分=(招标控制价-暂列金额-专业工程暂估价-甲供材料费)×（1-K）+暂列金额+专业工程暂估价+甲供材料费</w:t>
      </w:r>
    </w:p>
    <w:p>
      <w:pPr>
        <w:pStyle w:val="7"/>
        <w:spacing w:line="540" w:lineRule="exact"/>
        <w:ind w:firstLine="729" w:firstLineChars="228"/>
        <w:rPr>
          <w:rFonts w:hint="eastAsia" w:ascii="仿宋" w:hAnsi="仿宋" w:eastAsia="仿宋" w:cs="仿宋"/>
          <w:sz w:val="32"/>
          <w:szCs w:val="32"/>
          <w:highlight w:val="none"/>
        </w:rPr>
      </w:pPr>
      <w:r>
        <w:rPr>
          <w:rFonts w:hint="eastAsia" w:ascii="仿宋" w:hAnsi="仿宋" w:eastAsia="仿宋" w:cs="仿宋"/>
          <w:b w:val="0"/>
          <w:bCs w:val="0"/>
          <w:sz w:val="32"/>
          <w:szCs w:val="32"/>
          <w:highlight w:val="none"/>
          <w:lang w:val="en-US" w:eastAsia="zh-CN"/>
        </w:rPr>
        <w:t>4.2.2.2</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投标报价部分=有效投标人少于5家（不含）直接取算术平均值；大于5家（含）时去掉总家数20%高价（四舍五入取整）和总家数20%低价（四舍五入取整）后的取算术平均值。</w:t>
      </w:r>
    </w:p>
    <w:p>
      <w:pPr>
        <w:pStyle w:val="7"/>
        <w:spacing w:line="540" w:lineRule="exact"/>
        <w:ind w:firstLine="729" w:firstLineChars="228"/>
        <w:rPr>
          <w:rFonts w:ascii="仿宋" w:hAnsi="仿宋" w:eastAsia="仿宋" w:cs="仿宋"/>
          <w:sz w:val="32"/>
          <w:szCs w:val="32"/>
          <w:highlight w:val="none"/>
        </w:rPr>
      </w:pPr>
      <w:r>
        <w:rPr>
          <w:rFonts w:hint="eastAsia" w:ascii="仿宋" w:hAnsi="仿宋" w:eastAsia="仿宋" w:cs="仿宋"/>
          <w:b w:val="0"/>
          <w:bCs w:val="0"/>
          <w:sz w:val="32"/>
          <w:szCs w:val="32"/>
          <w:highlight w:val="none"/>
          <w:lang w:val="en-US" w:eastAsia="zh-CN"/>
        </w:rPr>
        <w:t>4.2.2.3</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评标基准价=招标控制价部分×K1+投标报价部分×（1-K1）</w:t>
      </w:r>
    </w:p>
    <w:p>
      <w:pPr>
        <w:pStyle w:val="7"/>
        <w:spacing w:line="540" w:lineRule="exact"/>
        <w:ind w:firstLine="729" w:firstLineChars="228"/>
        <w:rPr>
          <w:rFonts w:hint="eastAsia" w:ascii="仿宋" w:hAnsi="仿宋" w:eastAsia="仿宋" w:cs="仿宋"/>
          <w:sz w:val="32"/>
          <w:szCs w:val="32"/>
          <w:highlight w:val="none"/>
        </w:rPr>
      </w:pPr>
      <w:r>
        <w:rPr>
          <w:rFonts w:hint="eastAsia" w:ascii="仿宋" w:hAnsi="仿宋" w:eastAsia="仿宋" w:cs="仿宋"/>
          <w:sz w:val="32"/>
          <w:szCs w:val="32"/>
          <w:highlight w:val="none"/>
        </w:rPr>
        <w:t>K为评标基准价中控制价可竞争部分的下浮率，由招标人在经济标计分评审前，随机抽取确定。</w:t>
      </w:r>
    </w:p>
    <w:p>
      <w:pPr>
        <w:pStyle w:val="7"/>
        <w:spacing w:line="540" w:lineRule="exact"/>
        <w:ind w:firstLine="729" w:firstLineChars="228"/>
        <w:rPr>
          <w:rFonts w:hint="eastAsia" w:ascii="仿宋" w:hAnsi="仿宋" w:eastAsia="仿宋" w:cs="仿宋"/>
          <w:sz w:val="32"/>
          <w:szCs w:val="32"/>
          <w:highlight w:val="none"/>
        </w:rPr>
      </w:pPr>
      <w:r>
        <w:rPr>
          <w:rFonts w:hint="eastAsia" w:ascii="仿宋" w:hAnsi="仿宋" w:eastAsia="仿宋" w:cs="仿宋"/>
          <w:sz w:val="32"/>
          <w:szCs w:val="32"/>
          <w:highlight w:val="none"/>
        </w:rPr>
        <w:t>K值取值建议：房屋建筑工程0%</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5%;单独招标的安装工程和装饰装修工程0%</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8%;市政和园林绿化工程0%</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10%。以上均以1%为间隔。</w:t>
      </w:r>
    </w:p>
    <w:p>
      <w:pPr>
        <w:pStyle w:val="7"/>
        <w:spacing w:line="540" w:lineRule="exact"/>
        <w:ind w:firstLine="729" w:firstLineChars="228"/>
        <w:rPr>
          <w:rFonts w:ascii="仿宋" w:hAnsi="仿宋" w:eastAsia="仿宋" w:cs="仿宋"/>
          <w:sz w:val="32"/>
          <w:szCs w:val="32"/>
          <w:highlight w:val="none"/>
        </w:rPr>
      </w:pPr>
      <w:r>
        <w:rPr>
          <w:rFonts w:hint="eastAsia" w:ascii="仿宋" w:hAnsi="仿宋" w:eastAsia="仿宋" w:cs="仿宋"/>
          <w:sz w:val="32"/>
          <w:szCs w:val="32"/>
          <w:highlight w:val="none"/>
        </w:rPr>
        <w:t>K1为评标基准价中控制价权重，由招标人在经济标计分评审前，随机抽取确定。K1取值范围0%</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50%，以10%为间隔。</w:t>
      </w:r>
    </w:p>
    <w:p>
      <w:pPr>
        <w:pStyle w:val="7"/>
        <w:spacing w:line="540" w:lineRule="exact"/>
        <w:ind w:firstLine="729" w:firstLineChars="228"/>
        <w:rPr>
          <w:rFonts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xml:space="preserve">4.2.3 </w:t>
      </w:r>
      <w:r>
        <w:rPr>
          <w:rFonts w:hint="eastAsia" w:ascii="仿宋" w:hAnsi="仿宋" w:eastAsia="仿宋" w:cs="仿宋"/>
          <w:b w:val="0"/>
          <w:bCs w:val="0"/>
          <w:sz w:val="32"/>
          <w:szCs w:val="32"/>
          <w:highlight w:val="none"/>
        </w:rPr>
        <w:t>计算投标报价得分</w:t>
      </w:r>
    </w:p>
    <w:p>
      <w:pPr>
        <w:pStyle w:val="7"/>
        <w:spacing w:line="540" w:lineRule="exact"/>
        <w:ind w:firstLine="729" w:firstLineChars="228"/>
        <w:rPr>
          <w:rFonts w:ascii="仿宋" w:hAnsi="仿宋" w:eastAsia="仿宋" w:cs="仿宋"/>
          <w:sz w:val="32"/>
          <w:szCs w:val="32"/>
          <w:highlight w:val="none"/>
        </w:rPr>
      </w:pPr>
      <w:r>
        <w:rPr>
          <w:rFonts w:hint="eastAsia" w:ascii="仿宋" w:hAnsi="仿宋" w:eastAsia="仿宋" w:cs="仿宋"/>
          <w:sz w:val="32"/>
          <w:szCs w:val="32"/>
          <w:highlight w:val="none"/>
        </w:rPr>
        <w:t>投标报价小于基准价时：投标报价得分=100-（评标基准价-投标报价）÷评标基准价×100×Q</w:t>
      </w:r>
    </w:p>
    <w:p>
      <w:pPr>
        <w:pStyle w:val="7"/>
        <w:spacing w:line="540" w:lineRule="exact"/>
        <w:ind w:firstLine="729" w:firstLineChars="228"/>
        <w:rPr>
          <w:rFonts w:ascii="仿宋" w:hAnsi="仿宋" w:eastAsia="仿宋" w:cs="仿宋"/>
          <w:sz w:val="32"/>
          <w:szCs w:val="32"/>
          <w:highlight w:val="none"/>
        </w:rPr>
      </w:pPr>
      <w:r>
        <w:rPr>
          <w:rFonts w:hint="eastAsia" w:ascii="仿宋" w:hAnsi="仿宋" w:eastAsia="仿宋" w:cs="仿宋"/>
          <w:sz w:val="32"/>
          <w:szCs w:val="32"/>
          <w:highlight w:val="none"/>
        </w:rPr>
        <w:t>投标报价大于基准价时：投标报价得分=100-（投标报价-评标基准价）÷评标基准价×100×Q×2</w:t>
      </w:r>
    </w:p>
    <w:p>
      <w:pPr>
        <w:pStyle w:val="7"/>
        <w:spacing w:line="540" w:lineRule="exact"/>
        <w:ind w:firstLine="729" w:firstLineChars="228"/>
        <w:rPr>
          <w:rFonts w:hint="eastAsia"/>
          <w:highlight w:val="none"/>
          <w:lang w:val="en-US" w:eastAsia="zh-CN"/>
        </w:rPr>
      </w:pPr>
      <w:r>
        <w:rPr>
          <w:rFonts w:hint="eastAsia" w:ascii="仿宋" w:hAnsi="仿宋" w:eastAsia="仿宋" w:cs="仿宋"/>
          <w:sz w:val="32"/>
          <w:szCs w:val="32"/>
          <w:highlight w:val="none"/>
        </w:rPr>
        <w:t>其中：Q值为投标报价每偏离评标基准价下浮1%的取值，由招标人在经济标计分评审前，随机抽取确定，Q取值范围1</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3，以1为间隔。</w:t>
      </w:r>
    </w:p>
    <w:p>
      <w:pPr>
        <w:widowControl/>
        <w:shd w:val="clear" w:color="auto" w:fill="FFFFFF"/>
        <w:ind w:firstLine="640" w:firstLineChars="200"/>
        <w:rPr>
          <w:rFonts w:hint="eastAsia" w:ascii="楷体" w:hAnsi="楷体" w:eastAsia="楷体" w:cs="楷体"/>
          <w:b w:val="0"/>
          <w:bCs w:val="0"/>
          <w:color w:val="auto"/>
          <w:kern w:val="0"/>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rPr>
        <w:t>（三）汇总评分结果</w:t>
      </w:r>
    </w:p>
    <w:p>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C=[（J</w:t>
      </w:r>
      <w:r>
        <w:rPr>
          <w:rFonts w:hint="eastAsia" w:ascii="仿宋" w:hAnsi="仿宋" w:eastAsia="仿宋" w:cs="仿宋"/>
          <w:color w:val="auto"/>
          <w:kern w:val="2"/>
          <w:sz w:val="32"/>
          <w:szCs w:val="32"/>
          <w:highlight w:val="none"/>
          <w:vertAlign w:val="subscript"/>
          <w:lang w:val="en-US" w:eastAsia="zh-CN" w:bidi="ar-SA"/>
        </w:rPr>
        <w:t>1</w:t>
      </w:r>
      <w:r>
        <w:rPr>
          <w:rFonts w:hint="eastAsia" w:ascii="仿宋" w:hAnsi="仿宋" w:eastAsia="仿宋" w:cs="仿宋"/>
          <w:color w:val="auto"/>
          <w:kern w:val="2"/>
          <w:sz w:val="32"/>
          <w:szCs w:val="32"/>
          <w:highlight w:val="none"/>
          <w:lang w:val="en-US" w:eastAsia="zh-CN" w:bidi="ar-SA"/>
        </w:rPr>
        <w:t>×E－H）＋J</w:t>
      </w:r>
      <w:r>
        <w:rPr>
          <w:rFonts w:hint="eastAsia" w:ascii="仿宋" w:hAnsi="仿宋" w:eastAsia="仿宋" w:cs="仿宋"/>
          <w:color w:val="auto"/>
          <w:kern w:val="2"/>
          <w:sz w:val="32"/>
          <w:szCs w:val="32"/>
          <w:highlight w:val="none"/>
          <w:vertAlign w:val="subscript"/>
          <w:lang w:val="en-US" w:eastAsia="zh-CN" w:bidi="ar-SA"/>
        </w:rPr>
        <w:t>2</w:t>
      </w:r>
      <w:r>
        <w:rPr>
          <w:rFonts w:hint="eastAsia" w:ascii="仿宋" w:hAnsi="仿宋" w:eastAsia="仿宋" w:cs="仿宋"/>
          <w:color w:val="auto"/>
          <w:kern w:val="2"/>
          <w:sz w:val="32"/>
          <w:szCs w:val="32"/>
          <w:highlight w:val="none"/>
          <w:lang w:val="en-US" w:eastAsia="zh-CN" w:bidi="ar-SA"/>
        </w:rPr>
        <w:t>×G]×85%＋D＋F</w:t>
      </w:r>
    </w:p>
    <w:p>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其中：C——评标总得分</w:t>
      </w:r>
    </w:p>
    <w:p>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D——商务标评审得分</w:t>
      </w:r>
    </w:p>
    <w:p>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E——技术标评审得分</w:t>
      </w:r>
    </w:p>
    <w:p>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F——信用评审得分</w:t>
      </w:r>
    </w:p>
    <w:p>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G——投标报价评审得分</w:t>
      </w:r>
    </w:p>
    <w:p>
      <w:pPr>
        <w:pStyle w:val="2"/>
        <w:ind w:left="0" w:leftChars="0"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H——技术标明、暗示扣分</w:t>
      </w:r>
    </w:p>
    <w:p>
      <w:pPr>
        <w:pStyle w:val="2"/>
        <w:ind w:left="0" w:lef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J</w:t>
      </w:r>
      <w:r>
        <w:rPr>
          <w:rFonts w:hint="eastAsia" w:ascii="仿宋" w:hAnsi="仿宋" w:eastAsia="仿宋" w:cs="仿宋"/>
          <w:color w:val="auto"/>
          <w:kern w:val="2"/>
          <w:sz w:val="32"/>
          <w:szCs w:val="32"/>
          <w:highlight w:val="none"/>
          <w:vertAlign w:val="subscript"/>
          <w:lang w:val="en-US" w:eastAsia="zh-CN" w:bidi="ar-SA"/>
        </w:rPr>
        <w:t>1</w:t>
      </w:r>
      <w:r>
        <w:rPr>
          <w:rFonts w:hint="eastAsia" w:ascii="仿宋" w:hAnsi="仿宋" w:eastAsia="仿宋" w:cs="仿宋"/>
          <w:color w:val="auto"/>
          <w:kern w:val="2"/>
          <w:sz w:val="32"/>
          <w:szCs w:val="32"/>
          <w:highlight w:val="none"/>
          <w:lang w:val="en-US" w:eastAsia="zh-CN" w:bidi="ar-SA"/>
        </w:rPr>
        <w:t>、J</w:t>
      </w:r>
      <w:r>
        <w:rPr>
          <w:rFonts w:hint="eastAsia" w:ascii="仿宋" w:hAnsi="仿宋" w:eastAsia="仿宋" w:cs="仿宋"/>
          <w:color w:val="auto"/>
          <w:kern w:val="2"/>
          <w:sz w:val="32"/>
          <w:szCs w:val="32"/>
          <w:highlight w:val="none"/>
          <w:vertAlign w:val="subscript"/>
          <w:lang w:val="en-US" w:eastAsia="zh-CN" w:bidi="ar-SA"/>
        </w:rPr>
        <w:t>2</w:t>
      </w:r>
      <w:r>
        <w:rPr>
          <w:rFonts w:hint="eastAsia" w:ascii="仿宋" w:hAnsi="仿宋" w:eastAsia="仿宋" w:cs="仿宋"/>
          <w:color w:val="auto"/>
          <w:kern w:val="2"/>
          <w:sz w:val="32"/>
          <w:szCs w:val="32"/>
          <w:highlight w:val="none"/>
          <w:lang w:val="en-US" w:eastAsia="zh-CN" w:bidi="ar-SA"/>
        </w:rPr>
        <w:t>——详细评审权重</w:t>
      </w:r>
    </w:p>
    <w:p>
      <w:pPr>
        <w:widowControl/>
        <w:numPr>
          <w:ilvl w:val="0"/>
          <w:numId w:val="2"/>
        </w:numPr>
        <w:shd w:val="clear" w:color="auto" w:fill="FFFFFF"/>
        <w:ind w:firstLine="640" w:firstLineChars="200"/>
        <w:rPr>
          <w:rFonts w:hint="eastAsia" w:ascii="楷体" w:hAnsi="楷体" w:eastAsia="楷体" w:cs="楷体"/>
          <w:b w:val="0"/>
          <w:bCs w:val="0"/>
          <w:kern w:val="0"/>
          <w:sz w:val="32"/>
          <w:szCs w:val="32"/>
          <w:highlight w:val="none"/>
        </w:rPr>
      </w:pPr>
      <w:r>
        <w:rPr>
          <w:rFonts w:hint="eastAsia" w:ascii="楷体" w:hAnsi="楷体" w:eastAsia="楷体" w:cs="楷体"/>
          <w:b w:val="0"/>
          <w:bCs w:val="0"/>
          <w:kern w:val="0"/>
          <w:sz w:val="32"/>
          <w:szCs w:val="32"/>
          <w:highlight w:val="none"/>
        </w:rPr>
        <w:t>各项评审因素权重</w:t>
      </w:r>
    </w:p>
    <w:p>
      <w:pPr>
        <w:pStyle w:val="2"/>
        <w:widowControl w:val="0"/>
        <w:numPr>
          <w:ilvl w:val="0"/>
          <w:numId w:val="0"/>
        </w:numPr>
        <w:spacing w:after="120"/>
        <w:jc w:val="both"/>
        <w:rPr>
          <w:rFonts w:hint="eastAsia"/>
          <w:highlight w:val="none"/>
        </w:rPr>
      </w:pPr>
    </w:p>
    <w:p>
      <w:pPr>
        <w:pStyle w:val="2"/>
        <w:widowControl w:val="0"/>
        <w:numPr>
          <w:ilvl w:val="0"/>
          <w:numId w:val="0"/>
        </w:numPr>
        <w:spacing w:after="120"/>
        <w:jc w:val="both"/>
        <w:rPr>
          <w:rFonts w:hint="eastAsia"/>
          <w:highlight w:val="none"/>
        </w:rPr>
      </w:pPr>
    </w:p>
    <w:tbl>
      <w:tblPr>
        <w:tblStyle w:val="15"/>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
        <w:gridCol w:w="1507"/>
        <w:gridCol w:w="2028"/>
        <w:gridCol w:w="2508"/>
        <w:gridCol w:w="22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8" w:type="dxa"/>
            <w:tcBorders>
              <w:top w:val="single" w:color="auto" w:sz="12" w:space="0"/>
              <w:left w:val="nil"/>
              <w:bottom w:val="single" w:color="auto" w:sz="6" w:space="0"/>
              <w:right w:val="single" w:color="auto" w:sz="6" w:space="0"/>
            </w:tcBorders>
            <w:vAlign w:val="center"/>
          </w:tcPr>
          <w:p>
            <w:pPr>
              <w:widowControl/>
              <w:jc w:val="center"/>
              <w:rPr>
                <w:rFonts w:ascii="仿宋_GB2312" w:hAnsi="Calibri" w:cs="宋体"/>
                <w:b/>
                <w:bCs/>
                <w:kern w:val="0"/>
                <w:sz w:val="24"/>
                <w:szCs w:val="24"/>
                <w:highlight w:val="none"/>
              </w:rPr>
            </w:pPr>
            <w:r>
              <w:rPr>
                <w:rFonts w:hint="eastAsia" w:ascii="仿宋_GB2312"/>
                <w:b/>
                <w:bCs/>
                <w:kern w:val="0"/>
                <w:sz w:val="24"/>
                <w:szCs w:val="24"/>
                <w:highlight w:val="none"/>
              </w:rPr>
              <w:t>序号</w:t>
            </w:r>
          </w:p>
        </w:tc>
        <w:tc>
          <w:tcPr>
            <w:tcW w:w="3535"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hint="eastAsia" w:ascii="仿宋_GB2312"/>
                <w:b/>
                <w:bCs/>
                <w:kern w:val="0"/>
                <w:sz w:val="24"/>
                <w:szCs w:val="24"/>
                <w:highlight w:val="none"/>
              </w:rPr>
            </w:pPr>
            <w:r>
              <w:rPr>
                <w:rFonts w:hint="eastAsia" w:ascii="仿宋_GB2312"/>
                <w:b/>
                <w:bCs/>
                <w:kern w:val="0"/>
                <w:sz w:val="24"/>
                <w:szCs w:val="24"/>
                <w:highlight w:val="none"/>
              </w:rPr>
              <w:t>评审因素</w:t>
            </w:r>
          </w:p>
        </w:tc>
        <w:tc>
          <w:tcPr>
            <w:tcW w:w="2508" w:type="dxa"/>
            <w:tcBorders>
              <w:top w:val="single" w:color="auto" w:sz="12" w:space="0"/>
              <w:left w:val="single" w:color="auto" w:sz="6" w:space="0"/>
              <w:bottom w:val="single" w:color="auto" w:sz="6" w:space="0"/>
              <w:right w:val="nil"/>
            </w:tcBorders>
            <w:vAlign w:val="center"/>
          </w:tcPr>
          <w:p>
            <w:pPr>
              <w:widowControl/>
              <w:jc w:val="center"/>
              <w:rPr>
                <w:rFonts w:ascii="仿宋_GB2312" w:hAnsi="Calibri" w:cs="宋体"/>
                <w:b/>
                <w:bCs/>
                <w:kern w:val="0"/>
                <w:sz w:val="24"/>
                <w:szCs w:val="24"/>
                <w:highlight w:val="none"/>
              </w:rPr>
            </w:pPr>
            <w:r>
              <w:rPr>
                <w:rFonts w:hint="eastAsia" w:ascii="仿宋_GB2312"/>
                <w:b/>
                <w:bCs/>
                <w:kern w:val="0"/>
                <w:sz w:val="24"/>
                <w:szCs w:val="24"/>
                <w:highlight w:val="none"/>
              </w:rPr>
              <w:t>详细评审权重</w:t>
            </w:r>
          </w:p>
        </w:tc>
        <w:tc>
          <w:tcPr>
            <w:tcW w:w="2256" w:type="dxa"/>
            <w:tcBorders>
              <w:top w:val="single" w:color="auto" w:sz="12" w:space="0"/>
              <w:left w:val="single" w:color="auto" w:sz="6" w:space="0"/>
              <w:bottom w:val="single" w:color="auto" w:sz="6" w:space="0"/>
              <w:right w:val="nil"/>
            </w:tcBorders>
            <w:vAlign w:val="center"/>
          </w:tcPr>
          <w:p>
            <w:pPr>
              <w:widowControl/>
              <w:jc w:val="center"/>
              <w:rPr>
                <w:rFonts w:hint="eastAsia" w:ascii="仿宋_GB2312"/>
                <w:b/>
                <w:bCs/>
                <w:kern w:val="0"/>
                <w:sz w:val="24"/>
                <w:szCs w:val="24"/>
                <w:highlight w:val="none"/>
              </w:rPr>
            </w:pPr>
            <w:r>
              <w:rPr>
                <w:rFonts w:hint="eastAsia" w:ascii="仿宋_GB2312"/>
                <w:b/>
                <w:bCs/>
                <w:kern w:val="0"/>
                <w:sz w:val="24"/>
                <w:szCs w:val="24"/>
                <w:highlight w:val="none"/>
              </w:rPr>
              <w:t>计分权重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8" w:type="dxa"/>
            <w:vMerge w:val="restart"/>
            <w:tcBorders>
              <w:top w:val="single" w:color="auto" w:sz="6" w:space="0"/>
              <w:left w:val="nil"/>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07" w:type="dxa"/>
            <w:vMerge w:val="restart"/>
            <w:tcBorders>
              <w:top w:val="single" w:color="auto" w:sz="6" w:space="0"/>
              <w:left w:val="single" w:color="auto" w:sz="6" w:space="0"/>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技术标（</w:t>
            </w:r>
            <w:r>
              <w:rPr>
                <w:rFonts w:hint="eastAsia" w:ascii="仿宋" w:hAnsi="仿宋" w:eastAsia="仿宋" w:cs="仿宋"/>
                <w:sz w:val="24"/>
                <w:szCs w:val="24"/>
                <w:highlight w:val="none"/>
                <w:lang w:val="en-US" w:eastAsia="zh-CN"/>
              </w:rPr>
              <w:t>E</w:t>
            </w:r>
            <w:r>
              <w:rPr>
                <w:rFonts w:hint="eastAsia" w:ascii="仿宋" w:hAnsi="仿宋" w:eastAsia="仿宋" w:cs="仿宋"/>
                <w:sz w:val="24"/>
                <w:szCs w:val="24"/>
                <w:highlight w:val="none"/>
              </w:rPr>
              <w:t>）</w:t>
            </w:r>
          </w:p>
        </w:tc>
        <w:tc>
          <w:tcPr>
            <w:tcW w:w="20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计分制</w:t>
            </w:r>
          </w:p>
        </w:tc>
        <w:tc>
          <w:tcPr>
            <w:tcW w:w="2508" w:type="dxa"/>
            <w:tcBorders>
              <w:top w:val="single" w:color="auto" w:sz="6" w:space="0"/>
              <w:left w:val="single" w:color="auto" w:sz="6" w:space="0"/>
              <w:bottom w:val="single" w:color="auto" w:sz="6" w:space="0"/>
              <w:right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J</w:t>
            </w:r>
            <w:r>
              <w:rPr>
                <w:rFonts w:hint="eastAsia" w:ascii="仿宋" w:hAnsi="仿宋" w:eastAsia="仿宋" w:cs="仿宋"/>
                <w:color w:val="auto"/>
                <w:kern w:val="2"/>
                <w:sz w:val="24"/>
                <w:szCs w:val="24"/>
                <w:highlight w:val="none"/>
                <w:vertAlign w:val="subscript"/>
                <w:lang w:val="en-US" w:eastAsia="zh-CN" w:bidi="ar-SA"/>
              </w:rPr>
              <w:t>1</w:t>
            </w:r>
            <w:r>
              <w:rPr>
                <w:rFonts w:hint="eastAsia" w:ascii="仿宋" w:hAnsi="仿宋" w:eastAsia="仿宋" w:cs="仿宋"/>
                <w:color w:val="auto"/>
                <w:sz w:val="24"/>
                <w:szCs w:val="24"/>
                <w:highlight w:val="none"/>
              </w:rPr>
              <w:t>≤30%</w:t>
            </w:r>
          </w:p>
        </w:tc>
        <w:tc>
          <w:tcPr>
            <w:tcW w:w="2256" w:type="dxa"/>
            <w:vMerge w:val="restart"/>
            <w:tcBorders>
              <w:top w:val="single" w:color="auto" w:sz="6" w:space="0"/>
              <w:left w:val="single" w:color="auto" w:sz="6" w:space="0"/>
              <w:right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8" w:type="dxa"/>
            <w:vMerge w:val="continue"/>
            <w:tcBorders>
              <w:left w:val="nil"/>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1507" w:type="dxa"/>
            <w:vMerge w:val="continue"/>
            <w:tcBorders>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20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合格制</w:t>
            </w:r>
          </w:p>
        </w:tc>
        <w:tc>
          <w:tcPr>
            <w:tcW w:w="2508" w:type="dxa"/>
            <w:tcBorders>
              <w:top w:val="single" w:color="auto" w:sz="6" w:space="0"/>
              <w:left w:val="single" w:color="auto" w:sz="6" w:space="0"/>
              <w:bottom w:val="single" w:color="auto" w:sz="6" w:space="0"/>
              <w:right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J</w:t>
            </w:r>
            <w:r>
              <w:rPr>
                <w:rFonts w:hint="eastAsia" w:ascii="仿宋" w:hAnsi="仿宋" w:eastAsia="仿宋" w:cs="仿宋"/>
                <w:color w:val="auto"/>
                <w:kern w:val="2"/>
                <w:sz w:val="24"/>
                <w:szCs w:val="24"/>
                <w:highlight w:val="none"/>
                <w:vertAlign w:val="subscript"/>
                <w:lang w:val="en-US" w:eastAsia="zh-CN" w:bidi="ar-SA"/>
              </w:rPr>
              <w:t>1</w:t>
            </w:r>
            <w:r>
              <w:rPr>
                <w:rFonts w:hint="eastAsia" w:ascii="仿宋" w:hAnsi="仿宋" w:eastAsia="仿宋" w:cs="仿宋"/>
                <w:color w:val="auto"/>
                <w:sz w:val="24"/>
                <w:szCs w:val="24"/>
                <w:highlight w:val="none"/>
              </w:rPr>
              <w:t>=0</w:t>
            </w:r>
          </w:p>
        </w:tc>
        <w:tc>
          <w:tcPr>
            <w:tcW w:w="2256" w:type="dxa"/>
            <w:vMerge w:val="continue"/>
            <w:tcBorders>
              <w:left w:val="single" w:color="auto" w:sz="6" w:space="0"/>
              <w:right w:val="nil"/>
            </w:tcBorders>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8" w:type="dxa"/>
            <w:vMerge w:val="restart"/>
            <w:tcBorders>
              <w:top w:val="single" w:color="auto" w:sz="6" w:space="0"/>
              <w:left w:val="nil"/>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07" w:type="dxa"/>
            <w:vMerge w:val="restart"/>
            <w:tcBorders>
              <w:top w:val="single" w:color="auto" w:sz="6" w:space="0"/>
              <w:left w:val="single" w:color="auto" w:sz="6" w:space="0"/>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投标报价评审(</w:t>
            </w:r>
            <w:r>
              <w:rPr>
                <w:rFonts w:hint="eastAsia" w:ascii="仿宋" w:hAnsi="仿宋" w:eastAsia="仿宋" w:cs="仿宋"/>
                <w:sz w:val="24"/>
                <w:szCs w:val="24"/>
                <w:highlight w:val="none"/>
                <w:lang w:val="en-US" w:eastAsia="zh-CN"/>
              </w:rPr>
              <w:t>G</w:t>
            </w:r>
            <w:r>
              <w:rPr>
                <w:rFonts w:hint="eastAsia" w:ascii="仿宋" w:hAnsi="仿宋" w:eastAsia="仿宋" w:cs="仿宋"/>
                <w:sz w:val="24"/>
                <w:szCs w:val="24"/>
                <w:highlight w:val="none"/>
              </w:rPr>
              <w:t>)</w:t>
            </w:r>
          </w:p>
        </w:tc>
        <w:tc>
          <w:tcPr>
            <w:tcW w:w="20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技术标</w:t>
            </w:r>
            <w:r>
              <w:rPr>
                <w:rFonts w:hint="eastAsia" w:ascii="仿宋" w:hAnsi="仿宋" w:eastAsia="仿宋" w:cs="仿宋"/>
                <w:sz w:val="24"/>
                <w:szCs w:val="24"/>
                <w:highlight w:val="none"/>
                <w:lang w:val="en-US" w:eastAsia="zh-CN"/>
              </w:rPr>
              <w:t>评审</w:t>
            </w:r>
            <w:r>
              <w:rPr>
                <w:rFonts w:hint="eastAsia" w:ascii="仿宋" w:hAnsi="仿宋" w:eastAsia="仿宋" w:cs="仿宋"/>
                <w:sz w:val="24"/>
                <w:szCs w:val="24"/>
                <w:highlight w:val="none"/>
              </w:rPr>
              <w:t>采用计分制</w:t>
            </w:r>
            <w:r>
              <w:rPr>
                <w:rFonts w:hint="eastAsia" w:ascii="仿宋" w:hAnsi="仿宋" w:eastAsia="仿宋" w:cs="仿宋"/>
                <w:sz w:val="24"/>
                <w:szCs w:val="24"/>
                <w:highlight w:val="none"/>
                <w:lang w:val="en-US" w:eastAsia="zh-CN"/>
              </w:rPr>
              <w:t>的</w:t>
            </w:r>
          </w:p>
        </w:tc>
        <w:tc>
          <w:tcPr>
            <w:tcW w:w="2508" w:type="dxa"/>
            <w:tcBorders>
              <w:top w:val="single" w:color="auto" w:sz="6" w:space="0"/>
              <w:left w:val="single" w:color="auto" w:sz="6" w:space="0"/>
              <w:bottom w:val="single" w:color="auto" w:sz="6" w:space="0"/>
              <w:right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J</w:t>
            </w:r>
            <w:r>
              <w:rPr>
                <w:rFonts w:hint="eastAsia" w:ascii="仿宋" w:hAnsi="仿宋" w:eastAsia="仿宋" w:cs="仿宋"/>
                <w:color w:val="auto"/>
                <w:kern w:val="2"/>
                <w:sz w:val="24"/>
                <w:szCs w:val="24"/>
                <w:highlight w:val="none"/>
                <w:vertAlign w:val="subscript"/>
                <w:lang w:val="en-US" w:eastAsia="zh-CN" w:bidi="ar-SA"/>
              </w:rPr>
              <w:t>2</w:t>
            </w:r>
            <w:r>
              <w:rPr>
                <w:rFonts w:hint="eastAsia" w:ascii="仿宋" w:hAnsi="仿宋" w:eastAsia="仿宋" w:cs="仿宋"/>
                <w:color w:val="auto"/>
                <w:sz w:val="24"/>
                <w:szCs w:val="24"/>
                <w:highlight w:val="none"/>
              </w:rPr>
              <w:t>≥70%</w:t>
            </w:r>
          </w:p>
        </w:tc>
        <w:tc>
          <w:tcPr>
            <w:tcW w:w="2256" w:type="dxa"/>
            <w:vMerge w:val="continue"/>
            <w:tcBorders>
              <w:left w:val="single" w:color="auto" w:sz="6" w:space="0"/>
              <w:right w:val="nil"/>
            </w:tcBorders>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8" w:type="dxa"/>
            <w:vMerge w:val="continue"/>
            <w:tcBorders>
              <w:left w:val="nil"/>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1507" w:type="dxa"/>
            <w:vMerge w:val="continue"/>
            <w:tcBorders>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p>
        </w:tc>
        <w:tc>
          <w:tcPr>
            <w:tcW w:w="202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技术标</w:t>
            </w:r>
            <w:r>
              <w:rPr>
                <w:rFonts w:hint="eastAsia" w:ascii="仿宋" w:hAnsi="仿宋" w:eastAsia="仿宋" w:cs="仿宋"/>
                <w:sz w:val="24"/>
                <w:szCs w:val="24"/>
                <w:highlight w:val="none"/>
                <w:lang w:val="en-US" w:eastAsia="zh-CN"/>
              </w:rPr>
              <w:t>评审</w:t>
            </w:r>
            <w:r>
              <w:rPr>
                <w:rFonts w:hint="eastAsia" w:ascii="仿宋" w:hAnsi="仿宋" w:eastAsia="仿宋" w:cs="仿宋"/>
                <w:sz w:val="24"/>
                <w:szCs w:val="24"/>
                <w:highlight w:val="none"/>
              </w:rPr>
              <w:t>采用合格制</w:t>
            </w:r>
            <w:r>
              <w:rPr>
                <w:rFonts w:hint="eastAsia" w:ascii="仿宋" w:hAnsi="仿宋" w:eastAsia="仿宋" w:cs="仿宋"/>
                <w:sz w:val="24"/>
                <w:szCs w:val="24"/>
                <w:highlight w:val="none"/>
                <w:lang w:val="en-US" w:eastAsia="zh-CN"/>
              </w:rPr>
              <w:t>的</w:t>
            </w:r>
          </w:p>
        </w:tc>
        <w:tc>
          <w:tcPr>
            <w:tcW w:w="2508" w:type="dxa"/>
            <w:tcBorders>
              <w:top w:val="single" w:color="auto" w:sz="6" w:space="0"/>
              <w:left w:val="single" w:color="auto" w:sz="6" w:space="0"/>
              <w:bottom w:val="single" w:color="auto" w:sz="6" w:space="0"/>
              <w:right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J</w:t>
            </w:r>
            <w:r>
              <w:rPr>
                <w:rFonts w:hint="eastAsia" w:ascii="仿宋" w:hAnsi="仿宋" w:eastAsia="仿宋" w:cs="仿宋"/>
                <w:color w:val="auto"/>
                <w:kern w:val="2"/>
                <w:sz w:val="24"/>
                <w:szCs w:val="24"/>
                <w:highlight w:val="none"/>
                <w:vertAlign w:val="subscript"/>
                <w:lang w:val="en-US" w:eastAsia="zh-CN" w:bidi="ar-SA"/>
              </w:rPr>
              <w:t>2</w:t>
            </w:r>
            <w:r>
              <w:rPr>
                <w:rFonts w:hint="eastAsia" w:ascii="仿宋" w:hAnsi="仿宋" w:eastAsia="仿宋" w:cs="仿宋"/>
                <w:color w:val="auto"/>
                <w:sz w:val="24"/>
                <w:szCs w:val="24"/>
                <w:highlight w:val="none"/>
              </w:rPr>
              <w:t>=100%</w:t>
            </w:r>
          </w:p>
        </w:tc>
        <w:tc>
          <w:tcPr>
            <w:tcW w:w="2256" w:type="dxa"/>
            <w:vMerge w:val="continue"/>
            <w:tcBorders>
              <w:left w:val="single" w:color="auto" w:sz="6" w:space="0"/>
              <w:bottom w:val="single" w:color="auto" w:sz="6" w:space="0"/>
              <w:right w:val="nil"/>
            </w:tcBorders>
            <w:vAlign w:val="center"/>
          </w:tcPr>
          <w:p>
            <w:pPr>
              <w:jc w:val="center"/>
              <w:rPr>
                <w:rFonts w:hint="eastAsia" w:ascii="仿宋" w:hAnsi="仿宋" w:eastAsia="仿宋" w:cs="仿宋"/>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8" w:type="dxa"/>
            <w:tcBorders>
              <w:top w:val="single" w:color="auto" w:sz="6" w:space="0"/>
              <w:left w:val="nil"/>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3535" w:type="dxa"/>
            <w:gridSpan w:val="2"/>
            <w:tcBorders>
              <w:top w:val="single" w:color="auto" w:sz="6" w:space="0"/>
              <w:left w:val="single" w:color="auto" w:sz="6" w:space="0"/>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商务评审(</w:t>
            </w:r>
            <w:r>
              <w:rPr>
                <w:rFonts w:hint="eastAsia" w:ascii="仿宋" w:hAnsi="仿宋" w:eastAsia="仿宋" w:cs="仿宋"/>
                <w:sz w:val="24"/>
                <w:szCs w:val="24"/>
                <w:highlight w:val="none"/>
                <w:lang w:val="en-US" w:eastAsia="zh-CN"/>
              </w:rPr>
              <w:t>D</w:t>
            </w:r>
            <w:r>
              <w:rPr>
                <w:rFonts w:hint="eastAsia" w:ascii="仿宋" w:hAnsi="仿宋" w:eastAsia="仿宋" w:cs="仿宋"/>
                <w:sz w:val="24"/>
                <w:szCs w:val="24"/>
                <w:highlight w:val="none"/>
              </w:rPr>
              <w:t>)</w:t>
            </w:r>
          </w:p>
        </w:tc>
        <w:tc>
          <w:tcPr>
            <w:tcW w:w="2508" w:type="dxa"/>
            <w:tcBorders>
              <w:top w:val="single" w:color="auto" w:sz="6" w:space="0"/>
              <w:left w:val="single" w:color="auto" w:sz="6" w:space="0"/>
              <w:bottom w:val="single" w:color="auto" w:sz="6" w:space="0"/>
              <w:right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分（固定分值）</w:t>
            </w:r>
          </w:p>
        </w:tc>
        <w:tc>
          <w:tcPr>
            <w:tcW w:w="2256" w:type="dxa"/>
            <w:tcBorders>
              <w:top w:val="single" w:color="auto" w:sz="6" w:space="0"/>
              <w:left w:val="single" w:color="auto" w:sz="6" w:space="0"/>
              <w:bottom w:val="single" w:color="auto" w:sz="6" w:space="0"/>
              <w:right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分（固定分值）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18" w:type="dxa"/>
            <w:tcBorders>
              <w:top w:val="single" w:color="auto" w:sz="6" w:space="0"/>
              <w:left w:val="nil"/>
              <w:bottom w:val="single" w:color="auto" w:sz="6" w:space="0"/>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353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信用评审(</w:t>
            </w:r>
            <w:r>
              <w:rPr>
                <w:rFonts w:hint="eastAsia" w:ascii="仿宋" w:hAnsi="仿宋" w:eastAsia="仿宋" w:cs="仿宋"/>
                <w:sz w:val="24"/>
                <w:szCs w:val="24"/>
                <w:highlight w:val="none"/>
                <w:lang w:val="en-US" w:eastAsia="zh-CN"/>
              </w:rPr>
              <w:t>F</w:t>
            </w:r>
            <w:r>
              <w:rPr>
                <w:rFonts w:hint="eastAsia" w:ascii="仿宋" w:hAnsi="仿宋" w:eastAsia="仿宋" w:cs="仿宋"/>
                <w:sz w:val="24"/>
                <w:szCs w:val="24"/>
                <w:highlight w:val="none"/>
              </w:rPr>
              <w:t>)</w:t>
            </w:r>
          </w:p>
        </w:tc>
        <w:tc>
          <w:tcPr>
            <w:tcW w:w="2508" w:type="dxa"/>
            <w:tcBorders>
              <w:top w:val="single" w:color="auto" w:sz="6" w:space="0"/>
              <w:left w:val="single" w:color="auto" w:sz="6" w:space="0"/>
              <w:bottom w:val="single" w:color="auto" w:sz="6" w:space="0"/>
              <w:right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10分（固定分值）</w:t>
            </w:r>
          </w:p>
        </w:tc>
        <w:tc>
          <w:tcPr>
            <w:tcW w:w="2256" w:type="dxa"/>
            <w:tcBorders>
              <w:top w:val="single" w:color="auto" w:sz="6" w:space="0"/>
              <w:left w:val="single" w:color="auto" w:sz="6" w:space="0"/>
              <w:bottom w:val="single" w:color="auto" w:sz="6" w:space="0"/>
              <w:right w:val="nil"/>
            </w:tcBorders>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10分（固定分值）</w:t>
            </w:r>
          </w:p>
        </w:tc>
      </w:tr>
    </w:tbl>
    <w:p>
      <w:pPr>
        <w:pStyle w:val="7"/>
        <w:spacing w:line="54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三、推荐中标候选</w:t>
      </w:r>
      <w:r>
        <w:rPr>
          <w:rFonts w:hint="eastAsia" w:ascii="黑体" w:hAnsi="黑体" w:eastAsia="黑体" w:cs="黑体"/>
          <w:sz w:val="32"/>
          <w:szCs w:val="32"/>
          <w:highlight w:val="none"/>
        </w:rPr>
        <w:t>人</w:t>
      </w:r>
    </w:p>
    <w:p>
      <w:pPr>
        <w:pStyle w:val="7"/>
        <w:spacing w:line="540" w:lineRule="exact"/>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highlight w:val="none"/>
          <w:lang w:val="en-US" w:eastAsia="zh-CN"/>
        </w:rPr>
        <w:t>按照</w:t>
      </w:r>
      <w:r>
        <w:rPr>
          <w:rFonts w:hint="eastAsia" w:ascii="仿宋" w:hAnsi="仿宋" w:eastAsia="仿宋" w:cs="仿宋"/>
          <w:sz w:val="32"/>
          <w:szCs w:val="32"/>
          <w:highlight w:val="none"/>
        </w:rPr>
        <w:t>评标总得</w:t>
      </w:r>
      <w:r>
        <w:rPr>
          <w:rFonts w:hint="eastAsia" w:ascii="仿宋" w:hAnsi="仿宋" w:eastAsia="仿宋" w:cs="仿宋"/>
          <w:sz w:val="32"/>
          <w:szCs w:val="32"/>
          <w:highlight w:val="none"/>
          <w:lang w:val="en-US" w:eastAsia="zh-CN"/>
        </w:rPr>
        <w:t>分从高至低确定投标人排序。</w:t>
      </w:r>
      <w:r>
        <w:rPr>
          <w:rFonts w:hint="eastAsia" w:ascii="仿宋" w:hAnsi="仿宋" w:eastAsia="仿宋" w:cs="仿宋"/>
          <w:sz w:val="32"/>
          <w:szCs w:val="32"/>
          <w:highlight w:val="none"/>
        </w:rPr>
        <w:t>当出现二个或二个以上投标人评标总得分相同时，由评标委员会按照其投标报价由低至高进行排序。</w:t>
      </w:r>
      <w:r>
        <w:rPr>
          <w:rFonts w:hint="eastAsia" w:ascii="仿宋" w:hAnsi="仿宋" w:eastAsia="仿宋" w:cs="仿宋"/>
          <w:sz w:val="32"/>
          <w:szCs w:val="32"/>
          <w:highlight w:val="none"/>
          <w:lang w:val="en-US" w:eastAsia="zh-CN"/>
        </w:rPr>
        <w:t>根据招标文件的要求，推荐不超过3个有排序的中标候选人，招标人按照中标候选人的排序确定中标人。</w:t>
      </w: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附表1-1</w:t>
      </w:r>
    </w:p>
    <w:tbl>
      <w:tblPr>
        <w:tblStyle w:val="15"/>
        <w:tblW w:w="8395" w:type="dxa"/>
        <w:tblInd w:w="0" w:type="dxa"/>
        <w:tblLayout w:type="fixed"/>
        <w:tblCellMar>
          <w:top w:w="0" w:type="dxa"/>
          <w:left w:w="0" w:type="dxa"/>
          <w:bottom w:w="0" w:type="dxa"/>
          <w:right w:w="0" w:type="dxa"/>
        </w:tblCellMar>
      </w:tblPr>
      <w:tblGrid>
        <w:gridCol w:w="772"/>
        <w:gridCol w:w="6084"/>
        <w:gridCol w:w="769"/>
        <w:gridCol w:w="770"/>
      </w:tblGrid>
      <w:tr>
        <w:tblPrEx>
          <w:tblCellMar>
            <w:top w:w="0" w:type="dxa"/>
            <w:left w:w="0" w:type="dxa"/>
            <w:bottom w:w="0" w:type="dxa"/>
            <w:right w:w="0" w:type="dxa"/>
          </w:tblCellMar>
        </w:tblPrEx>
        <w:trPr>
          <w:trHeight w:val="719" w:hRule="atLeast"/>
        </w:trPr>
        <w:tc>
          <w:tcPr>
            <w:tcW w:w="8395" w:type="dxa"/>
            <w:gridSpan w:val="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kern w:val="0"/>
                <w:sz w:val="36"/>
                <w:szCs w:val="36"/>
                <w:highlight w:val="none"/>
                <w:lang w:bidi="ar"/>
              </w:rPr>
              <w:t>形式评审</w:t>
            </w:r>
            <w:r>
              <w:rPr>
                <w:rFonts w:hint="eastAsia" w:ascii="宋体" w:hAnsi="宋体" w:eastAsia="宋体" w:cs="宋体"/>
                <w:b/>
                <w:color w:val="000000"/>
                <w:kern w:val="0"/>
                <w:sz w:val="36"/>
                <w:szCs w:val="36"/>
                <w:highlight w:val="none"/>
                <w:lang w:val="en-US" w:eastAsia="zh-CN" w:bidi="ar"/>
              </w:rPr>
              <w:t>标准</w:t>
            </w:r>
          </w:p>
        </w:tc>
      </w:tr>
      <w:tr>
        <w:tblPrEx>
          <w:tblCellMar>
            <w:top w:w="0" w:type="dxa"/>
            <w:left w:w="0" w:type="dxa"/>
            <w:bottom w:w="0" w:type="dxa"/>
            <w:right w:w="0" w:type="dxa"/>
          </w:tblCellMar>
        </w:tblPrEx>
        <w:trPr>
          <w:trHeight w:val="489" w:hRule="atLeast"/>
        </w:trPr>
        <w:tc>
          <w:tcPr>
            <w:tcW w:w="6856"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b/>
                <w:color w:val="000000"/>
                <w:sz w:val="32"/>
                <w:szCs w:val="32"/>
                <w:highlight w:val="none"/>
              </w:rPr>
            </w:pPr>
            <w:r>
              <w:rPr>
                <w:rFonts w:hint="eastAsia" w:ascii="宋体" w:hAnsi="宋体" w:eastAsia="宋体" w:cs="宋体"/>
                <w:b/>
                <w:bCs/>
                <w:color w:val="000000"/>
                <w:kern w:val="0"/>
                <w:sz w:val="24"/>
                <w:szCs w:val="24"/>
                <w:highlight w:val="none"/>
                <w:lang w:bidi="ar"/>
              </w:rPr>
              <w:t>项目名称：</w:t>
            </w:r>
          </w:p>
        </w:tc>
        <w:tc>
          <w:tcPr>
            <w:tcW w:w="769"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32"/>
                <w:szCs w:val="32"/>
                <w:highlight w:val="none"/>
              </w:rPr>
            </w:pPr>
          </w:p>
        </w:tc>
        <w:tc>
          <w:tcPr>
            <w:tcW w:w="77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32"/>
                <w:szCs w:val="32"/>
                <w:highlight w:val="none"/>
              </w:rPr>
            </w:pPr>
          </w:p>
        </w:tc>
      </w:tr>
      <w:tr>
        <w:tblPrEx>
          <w:tblCellMar>
            <w:top w:w="0" w:type="dxa"/>
            <w:left w:w="0" w:type="dxa"/>
            <w:bottom w:w="0" w:type="dxa"/>
            <w:right w:w="0" w:type="dxa"/>
          </w:tblCellMar>
        </w:tblPrEx>
        <w:trPr>
          <w:trHeight w:val="312"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eastAsia="zh-CN" w:bidi="ar"/>
              </w:rPr>
            </w:pPr>
            <w:r>
              <w:rPr>
                <w:rFonts w:hint="eastAsia" w:ascii="宋体" w:hAnsi="宋体" w:eastAsia="宋体" w:cs="宋体"/>
                <w:b/>
                <w:color w:val="000000"/>
                <w:kern w:val="0"/>
                <w:sz w:val="24"/>
                <w:highlight w:val="none"/>
                <w:lang w:val="en-US" w:eastAsia="zh-CN" w:bidi="ar"/>
              </w:rPr>
              <w:t>序号</w:t>
            </w:r>
          </w:p>
        </w:tc>
        <w:tc>
          <w:tcPr>
            <w:tcW w:w="60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评审内容</w:t>
            </w:r>
          </w:p>
        </w:tc>
        <w:tc>
          <w:tcPr>
            <w:tcW w:w="15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评审意见</w:t>
            </w:r>
          </w:p>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（是否通过）</w:t>
            </w:r>
          </w:p>
        </w:tc>
      </w:tr>
      <w:tr>
        <w:tblPrEx>
          <w:tblCellMar>
            <w:top w:w="0" w:type="dxa"/>
            <w:left w:w="0" w:type="dxa"/>
            <w:bottom w:w="0" w:type="dxa"/>
            <w:right w:w="0" w:type="dxa"/>
          </w:tblCellMar>
        </w:tblPrEx>
        <w:trPr>
          <w:trHeight w:val="312"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p>
        </w:tc>
        <w:tc>
          <w:tcPr>
            <w:tcW w:w="6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p>
        </w:tc>
      </w:tr>
      <w:tr>
        <w:tblPrEx>
          <w:tblCellMar>
            <w:top w:w="0" w:type="dxa"/>
            <w:left w:w="0" w:type="dxa"/>
            <w:bottom w:w="0" w:type="dxa"/>
            <w:right w:w="0" w:type="dxa"/>
          </w:tblCellMar>
        </w:tblPrEx>
        <w:trPr>
          <w:trHeight w:val="27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p>
        </w:tc>
        <w:tc>
          <w:tcPr>
            <w:tcW w:w="6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是</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否</w:t>
            </w:r>
          </w:p>
        </w:tc>
      </w:tr>
      <w:tr>
        <w:tblPrEx>
          <w:tblCellMar>
            <w:top w:w="0" w:type="dxa"/>
            <w:left w:w="0" w:type="dxa"/>
            <w:bottom w:w="0" w:type="dxa"/>
            <w:right w:w="0" w:type="dxa"/>
          </w:tblCellMar>
        </w:tblPrEx>
        <w:trPr>
          <w:trHeight w:val="114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lang w:val="en-US" w:eastAsia="zh-CN"/>
              </w:rPr>
              <w:t>未按照招标文件要求提供投标担保，或者所提供的投标担保有瑕疵的；</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967"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lang w:val="en-US" w:eastAsia="zh-CN"/>
              </w:rPr>
              <w:t>项目负责人不是投标人注册执业人员的；</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98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3</w:t>
            </w:r>
          </w:p>
        </w:tc>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lang w:val="en-US" w:eastAsia="zh-CN"/>
              </w:rPr>
              <w:t>投标文件指定位置没有投标单位法定代表人或其授权代表签字（章）和加盖投标单位公章的；</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114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4</w:t>
            </w:r>
          </w:p>
        </w:tc>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lang w:val="en-US" w:eastAsia="zh-CN"/>
              </w:rPr>
              <w:t>组成一个联合体投标，未提交联合体各方签订的共同投标协议的；</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114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5</w:t>
            </w:r>
          </w:p>
        </w:tc>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lang w:val="en-US" w:eastAsia="zh-CN"/>
              </w:rPr>
              <w:t>投标文件载明的技术规格、技术标准、货物包装方式、检验标准和方法等，不符合招标文件要求的；</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1068"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6</w:t>
            </w:r>
          </w:p>
        </w:tc>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top"/>
              <w:rPr>
                <w:rFonts w:ascii="宋体" w:hAnsi="宋体" w:eastAsia="宋体" w:cs="宋体"/>
                <w:color w:val="000000"/>
                <w:sz w:val="24"/>
                <w:highlight w:val="none"/>
              </w:rPr>
            </w:pPr>
            <w:r>
              <w:rPr>
                <w:rFonts w:hint="eastAsia" w:ascii="宋体" w:hAnsi="宋体"/>
                <w:color w:val="000000"/>
                <w:kern w:val="0"/>
                <w:sz w:val="24"/>
                <w:highlight w:val="none"/>
                <w:lang w:val="en-US" w:eastAsia="zh-CN"/>
              </w:rPr>
              <w:t>不符合法律法规和招标文件规定的其他情形</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94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c>
          <w:tcPr>
            <w:tcW w:w="6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top"/>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800" w:hRule="atLeast"/>
        </w:trPr>
        <w:tc>
          <w:tcPr>
            <w:tcW w:w="6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top"/>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结论：是否通过评审</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highlight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552" w:hRule="atLeast"/>
        </w:trPr>
        <w:tc>
          <w:tcPr>
            <w:tcW w:w="685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highlight w:val="none"/>
              </w:rPr>
            </w:pPr>
          </w:p>
        </w:tc>
        <w:tc>
          <w:tcPr>
            <w:tcW w:w="76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7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bl>
    <w:p>
      <w:pPr>
        <w:rPr>
          <w:rFonts w:ascii="仿宋" w:hAnsi="仿宋" w:eastAsia="仿宋" w:cs="仿宋"/>
          <w:sz w:val="24"/>
          <w:highlight w:val="none"/>
        </w:rPr>
      </w:pPr>
      <w:r>
        <w:rPr>
          <w:rFonts w:hint="eastAsia" w:ascii="仿宋" w:hAnsi="仿宋" w:eastAsia="仿宋" w:cs="仿宋"/>
          <w:sz w:val="24"/>
          <w:highlight w:val="none"/>
        </w:rPr>
        <w:br w:type="page"/>
      </w:r>
    </w:p>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附表1-2</w:t>
      </w:r>
    </w:p>
    <w:tbl>
      <w:tblPr>
        <w:tblStyle w:val="15"/>
        <w:tblW w:w="8319" w:type="dxa"/>
        <w:tblInd w:w="0" w:type="dxa"/>
        <w:tblLayout w:type="fixed"/>
        <w:tblCellMar>
          <w:top w:w="0" w:type="dxa"/>
          <w:left w:w="0" w:type="dxa"/>
          <w:bottom w:w="0" w:type="dxa"/>
          <w:right w:w="0" w:type="dxa"/>
        </w:tblCellMar>
      </w:tblPr>
      <w:tblGrid>
        <w:gridCol w:w="678"/>
        <w:gridCol w:w="6197"/>
        <w:gridCol w:w="741"/>
        <w:gridCol w:w="703"/>
      </w:tblGrid>
      <w:tr>
        <w:tblPrEx>
          <w:tblCellMar>
            <w:top w:w="0" w:type="dxa"/>
            <w:left w:w="0" w:type="dxa"/>
            <w:bottom w:w="0" w:type="dxa"/>
            <w:right w:w="0" w:type="dxa"/>
          </w:tblCellMar>
        </w:tblPrEx>
        <w:trPr>
          <w:trHeight w:val="405" w:hRule="atLeast"/>
        </w:trPr>
        <w:tc>
          <w:tcPr>
            <w:tcW w:w="8319" w:type="dxa"/>
            <w:gridSpan w:val="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sz w:val="32"/>
                <w:szCs w:val="32"/>
                <w:highlight w:val="none"/>
                <w:lang w:eastAsia="zh-CN"/>
              </w:rPr>
            </w:pPr>
            <w:r>
              <w:rPr>
                <w:rFonts w:hint="eastAsia" w:ascii="宋体" w:hAnsi="宋体" w:eastAsia="宋体" w:cs="宋体"/>
                <w:b/>
                <w:color w:val="000000"/>
                <w:kern w:val="0"/>
                <w:sz w:val="36"/>
                <w:szCs w:val="36"/>
                <w:highlight w:val="none"/>
                <w:lang w:bidi="ar"/>
              </w:rPr>
              <w:t>资格评审</w:t>
            </w:r>
            <w:r>
              <w:rPr>
                <w:rFonts w:hint="eastAsia" w:ascii="宋体" w:hAnsi="宋体" w:eastAsia="宋体" w:cs="宋体"/>
                <w:b/>
                <w:color w:val="000000"/>
                <w:kern w:val="0"/>
                <w:sz w:val="36"/>
                <w:szCs w:val="36"/>
                <w:highlight w:val="none"/>
                <w:lang w:val="en-US" w:eastAsia="zh-CN" w:bidi="ar"/>
              </w:rPr>
              <w:t>标准</w:t>
            </w:r>
          </w:p>
        </w:tc>
      </w:tr>
      <w:tr>
        <w:tblPrEx>
          <w:tblCellMar>
            <w:top w:w="0" w:type="dxa"/>
            <w:left w:w="0" w:type="dxa"/>
            <w:bottom w:w="0" w:type="dxa"/>
            <w:right w:w="0" w:type="dxa"/>
          </w:tblCellMar>
        </w:tblPrEx>
        <w:trPr>
          <w:trHeight w:val="405" w:hRule="atLeast"/>
        </w:trPr>
        <w:tc>
          <w:tcPr>
            <w:tcW w:w="687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highlight w:val="none"/>
              </w:rPr>
            </w:pPr>
            <w:r>
              <w:rPr>
                <w:rFonts w:hint="eastAsia" w:ascii="宋体" w:hAnsi="宋体" w:eastAsia="宋体" w:cs="宋体"/>
                <w:b/>
                <w:color w:val="000000"/>
                <w:kern w:val="0"/>
                <w:sz w:val="24"/>
                <w:szCs w:val="24"/>
                <w:highlight w:val="none"/>
                <w:lang w:bidi="ar"/>
              </w:rPr>
              <w:t>项目名称：</w:t>
            </w:r>
          </w:p>
        </w:tc>
        <w:tc>
          <w:tcPr>
            <w:tcW w:w="741"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32"/>
                <w:szCs w:val="32"/>
                <w:highlight w:val="none"/>
              </w:rPr>
            </w:pPr>
          </w:p>
        </w:tc>
        <w:tc>
          <w:tcPr>
            <w:tcW w:w="703"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b/>
                <w:color w:val="000000"/>
                <w:sz w:val="32"/>
                <w:szCs w:val="32"/>
                <w:highlight w:val="none"/>
              </w:rPr>
            </w:pPr>
          </w:p>
        </w:tc>
      </w:tr>
      <w:tr>
        <w:tblPrEx>
          <w:tblCellMar>
            <w:top w:w="0" w:type="dxa"/>
            <w:left w:w="0" w:type="dxa"/>
            <w:bottom w:w="0" w:type="dxa"/>
            <w:right w:w="0" w:type="dxa"/>
          </w:tblCellMar>
        </w:tblPrEx>
        <w:trPr>
          <w:trHeight w:val="285"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序号</w:t>
            </w:r>
          </w:p>
        </w:tc>
        <w:tc>
          <w:tcPr>
            <w:tcW w:w="6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评审内容</w:t>
            </w:r>
          </w:p>
        </w:tc>
        <w:tc>
          <w:tcPr>
            <w:tcW w:w="144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评审意见</w:t>
            </w:r>
          </w:p>
          <w:p>
            <w:pPr>
              <w:widowControl/>
              <w:jc w:val="center"/>
              <w:textAlignment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（是否通过）</w:t>
            </w:r>
          </w:p>
        </w:tc>
      </w:tr>
      <w:tr>
        <w:tblPrEx>
          <w:tblCellMar>
            <w:top w:w="0" w:type="dxa"/>
            <w:left w:w="0" w:type="dxa"/>
            <w:bottom w:w="0" w:type="dxa"/>
            <w:right w:w="0" w:type="dxa"/>
          </w:tblCellMar>
        </w:tblPrEx>
        <w:trPr>
          <w:trHeight w:val="285"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highlight w:val="none"/>
              </w:rPr>
            </w:pPr>
          </w:p>
        </w:tc>
        <w:tc>
          <w:tcPr>
            <w:tcW w:w="6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4"/>
                <w:highlight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是</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否</w:t>
            </w:r>
          </w:p>
        </w:tc>
      </w:tr>
      <w:tr>
        <w:tblPrEx>
          <w:tblCellMar>
            <w:top w:w="0" w:type="dxa"/>
            <w:left w:w="0" w:type="dxa"/>
            <w:bottom w:w="0" w:type="dxa"/>
            <w:right w:w="0" w:type="dxa"/>
          </w:tblCellMar>
        </w:tblPrEx>
        <w:trPr>
          <w:trHeight w:val="312"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6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rPr>
              <w:t>是否</w:t>
            </w:r>
            <w:r>
              <w:rPr>
                <w:rFonts w:hint="eastAsia" w:ascii="宋体" w:hAnsi="宋体"/>
                <w:color w:val="000000"/>
                <w:kern w:val="0"/>
                <w:sz w:val="24"/>
                <w:highlight w:val="none"/>
                <w:lang w:val="en-US" w:eastAsia="zh-CN"/>
              </w:rPr>
              <w:t>提供有效</w:t>
            </w:r>
            <w:r>
              <w:rPr>
                <w:rFonts w:hint="eastAsia" w:ascii="宋体" w:hAnsi="宋体"/>
                <w:color w:val="000000"/>
                <w:kern w:val="0"/>
                <w:sz w:val="24"/>
                <w:highlight w:val="none"/>
              </w:rPr>
              <w:t>的营业执照；</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53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c>
          <w:tcPr>
            <w:tcW w:w="6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4"/>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911"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c>
          <w:tcPr>
            <w:tcW w:w="6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top"/>
              <w:rPr>
                <w:rFonts w:ascii="宋体" w:hAnsi="宋体" w:eastAsia="宋体" w:cs="宋体"/>
                <w:color w:val="000000"/>
                <w:sz w:val="24"/>
                <w:highlight w:val="none"/>
              </w:rPr>
            </w:pPr>
            <w:r>
              <w:rPr>
                <w:rFonts w:hint="eastAsia" w:ascii="宋体" w:hAnsi="宋体"/>
                <w:color w:val="000000"/>
                <w:kern w:val="0"/>
                <w:sz w:val="24"/>
                <w:highlight w:val="none"/>
                <w:lang w:val="en-US" w:eastAsia="zh-CN"/>
              </w:rPr>
              <w:t>是否</w:t>
            </w:r>
            <w:r>
              <w:rPr>
                <w:rFonts w:hint="eastAsia" w:ascii="宋体" w:hAnsi="宋体"/>
                <w:color w:val="000000"/>
                <w:kern w:val="0"/>
                <w:sz w:val="24"/>
                <w:highlight w:val="none"/>
              </w:rPr>
              <w:t>具备有效的资质证书，且满足招标项目需要的资质等级</w:t>
            </w:r>
            <w:r>
              <w:rPr>
                <w:rFonts w:hint="eastAsia" w:ascii="宋体" w:hAnsi="宋体"/>
                <w:color w:val="000000"/>
                <w:kern w:val="0"/>
                <w:sz w:val="24"/>
                <w:highlight w:val="none"/>
                <w:lang w:eastAsia="zh-CN"/>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85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3</w:t>
            </w:r>
          </w:p>
        </w:tc>
        <w:tc>
          <w:tcPr>
            <w:tcW w:w="6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rPr>
              <w:t>是否具备</w:t>
            </w:r>
            <w:r>
              <w:rPr>
                <w:rFonts w:hint="eastAsia" w:ascii="宋体" w:hAnsi="宋体"/>
                <w:color w:val="000000"/>
                <w:kern w:val="0"/>
                <w:sz w:val="24"/>
                <w:highlight w:val="none"/>
                <w:lang w:val="en-US" w:eastAsia="zh-CN"/>
              </w:rPr>
              <w:t>有效</w:t>
            </w:r>
            <w:r>
              <w:rPr>
                <w:rFonts w:hint="eastAsia" w:ascii="宋体" w:hAnsi="宋体"/>
                <w:color w:val="000000"/>
                <w:kern w:val="0"/>
                <w:sz w:val="24"/>
                <w:highlight w:val="none"/>
              </w:rPr>
              <w:t>的安全生产许可证；</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rPr>
          <w:trHeight w:val="8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4</w:t>
            </w:r>
          </w:p>
        </w:tc>
        <w:tc>
          <w:tcPr>
            <w:tcW w:w="6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rPr>
              <w:t>项目负责人（建造师）条件是否满足招标文件的要求；</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871"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5</w:t>
            </w:r>
          </w:p>
        </w:tc>
        <w:tc>
          <w:tcPr>
            <w:tcW w:w="6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rPr>
              <w:t>提供的</w:t>
            </w:r>
            <w:r>
              <w:rPr>
                <w:rFonts w:hint="eastAsia" w:ascii="宋体" w:hAnsi="宋体"/>
                <w:color w:val="000000"/>
                <w:kern w:val="0"/>
                <w:sz w:val="24"/>
                <w:highlight w:val="none"/>
                <w:lang w:val="en-US" w:eastAsia="zh-CN"/>
              </w:rPr>
              <w:t>近年</w:t>
            </w:r>
            <w:r>
              <w:rPr>
                <w:rFonts w:hint="eastAsia" w:ascii="宋体" w:hAnsi="宋体"/>
                <w:color w:val="000000"/>
                <w:kern w:val="0"/>
                <w:sz w:val="24"/>
                <w:highlight w:val="none"/>
              </w:rPr>
              <w:t>财务报表是否满足招标文件的要求；</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786"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6</w:t>
            </w:r>
          </w:p>
        </w:tc>
        <w:tc>
          <w:tcPr>
            <w:tcW w:w="6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sz w:val="24"/>
                <w:highlight w:val="none"/>
              </w:rPr>
              <w:t>企业信誉是否满足招标文件的要求；</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8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7</w:t>
            </w:r>
          </w:p>
        </w:tc>
        <w:tc>
          <w:tcPr>
            <w:tcW w:w="6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 w:val="24"/>
                <w:highlight w:val="none"/>
              </w:rPr>
            </w:pPr>
            <w:r>
              <w:rPr>
                <w:rFonts w:hint="eastAsia" w:ascii="宋体" w:hAnsi="宋体"/>
                <w:color w:val="000000"/>
                <w:kern w:val="0"/>
                <w:sz w:val="24"/>
                <w:highlight w:val="none"/>
                <w:lang w:val="en-US" w:eastAsia="zh-CN"/>
              </w:rPr>
              <w:t>类似项目业绩不满足招标文件的要求（若有）</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772"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8</w:t>
            </w:r>
          </w:p>
        </w:tc>
        <w:tc>
          <w:tcPr>
            <w:tcW w:w="6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宋体" w:cs="宋体"/>
                <w:color w:val="000000"/>
                <w:kern w:val="0"/>
                <w:sz w:val="24"/>
                <w:highlight w:val="none"/>
                <w:lang w:bidi="ar"/>
              </w:rPr>
            </w:pPr>
            <w:r>
              <w:rPr>
                <w:rFonts w:hint="eastAsia" w:ascii="宋体" w:hAnsi="宋体"/>
                <w:color w:val="000000"/>
                <w:kern w:val="0"/>
                <w:sz w:val="24"/>
                <w:highlight w:val="none"/>
                <w:lang w:val="en-US" w:eastAsia="zh-CN"/>
              </w:rPr>
              <w:t>不符合法律法规和招标文件规定的其他情形。</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819"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宋体" w:hAnsi="宋体" w:eastAsia="宋体" w:cs="宋体"/>
                <w:color w:val="000000"/>
                <w:sz w:val="24"/>
                <w:highlight w:val="none"/>
              </w:rPr>
            </w:pPr>
          </w:p>
        </w:tc>
        <w:tc>
          <w:tcPr>
            <w:tcW w:w="6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r>
      <w:tr>
        <w:tblPrEx>
          <w:tblCellMar>
            <w:top w:w="0" w:type="dxa"/>
            <w:left w:w="0" w:type="dxa"/>
            <w:bottom w:w="0" w:type="dxa"/>
            <w:right w:w="0" w:type="dxa"/>
          </w:tblCellMar>
        </w:tblPrEx>
        <w:trPr>
          <w:trHeight w:val="873" w:hRule="atLeast"/>
        </w:trPr>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top"/>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结论：是否通过评审</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eastAsia="宋体" w:cs="宋体"/>
                <w:color w:val="000000"/>
                <w:szCs w:val="21"/>
                <w:highlight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726" w:hRule="atLeast"/>
        </w:trPr>
        <w:tc>
          <w:tcPr>
            <w:tcW w:w="687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highlight w:val="none"/>
              </w:rPr>
            </w:pPr>
          </w:p>
        </w:tc>
        <w:tc>
          <w:tcPr>
            <w:tcW w:w="74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70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bl>
    <w:p>
      <w:pPr>
        <w:rPr>
          <w:rFonts w:ascii="仿宋" w:hAnsi="仿宋" w:eastAsia="仿宋" w:cs="仿宋"/>
          <w:sz w:val="24"/>
          <w:highlight w:val="none"/>
        </w:rPr>
      </w:pPr>
      <w:r>
        <w:rPr>
          <w:rFonts w:hint="eastAsia" w:ascii="仿宋" w:hAnsi="仿宋" w:eastAsia="仿宋" w:cs="仿宋"/>
          <w:sz w:val="24"/>
          <w:highlight w:val="none"/>
        </w:rPr>
        <w:br w:type="page"/>
      </w:r>
    </w:p>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附表1-3</w:t>
      </w:r>
    </w:p>
    <w:tbl>
      <w:tblPr>
        <w:tblStyle w:val="15"/>
        <w:tblW w:w="8300" w:type="dxa"/>
        <w:tblInd w:w="0" w:type="dxa"/>
        <w:tblLayout w:type="fixed"/>
        <w:tblCellMar>
          <w:top w:w="0" w:type="dxa"/>
          <w:left w:w="0" w:type="dxa"/>
          <w:bottom w:w="0" w:type="dxa"/>
          <w:right w:w="0" w:type="dxa"/>
        </w:tblCellMar>
      </w:tblPr>
      <w:tblGrid>
        <w:gridCol w:w="552"/>
        <w:gridCol w:w="6314"/>
        <w:gridCol w:w="682"/>
        <w:gridCol w:w="752"/>
      </w:tblGrid>
      <w:tr>
        <w:tblPrEx>
          <w:tblCellMar>
            <w:top w:w="0" w:type="dxa"/>
            <w:left w:w="0" w:type="dxa"/>
            <w:bottom w:w="0" w:type="dxa"/>
            <w:right w:w="0" w:type="dxa"/>
          </w:tblCellMar>
        </w:tblPrEx>
        <w:trPr>
          <w:trHeight w:val="510" w:hRule="atLeast"/>
        </w:trPr>
        <w:tc>
          <w:tcPr>
            <w:tcW w:w="8300" w:type="dxa"/>
            <w:gridSpan w:val="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sz w:val="40"/>
                <w:szCs w:val="40"/>
                <w:highlight w:val="none"/>
                <w:lang w:eastAsia="zh-CN"/>
              </w:rPr>
            </w:pPr>
            <w:r>
              <w:rPr>
                <w:rFonts w:hint="eastAsia" w:ascii="宋体" w:hAnsi="宋体" w:eastAsia="宋体" w:cs="宋体"/>
                <w:b/>
                <w:color w:val="000000"/>
                <w:kern w:val="0"/>
                <w:sz w:val="36"/>
                <w:szCs w:val="36"/>
                <w:highlight w:val="none"/>
                <w:lang w:bidi="ar"/>
              </w:rPr>
              <w:t>重大偏差评审</w:t>
            </w:r>
            <w:r>
              <w:rPr>
                <w:rFonts w:hint="eastAsia" w:ascii="宋体" w:hAnsi="宋体" w:eastAsia="宋体" w:cs="宋体"/>
                <w:b/>
                <w:color w:val="000000"/>
                <w:kern w:val="0"/>
                <w:sz w:val="36"/>
                <w:szCs w:val="36"/>
                <w:highlight w:val="none"/>
                <w:lang w:val="en-US" w:eastAsia="zh-CN" w:bidi="ar"/>
              </w:rPr>
              <w:t>标准</w:t>
            </w:r>
          </w:p>
        </w:tc>
      </w:tr>
      <w:tr>
        <w:tblPrEx>
          <w:tblCellMar>
            <w:top w:w="0" w:type="dxa"/>
            <w:left w:w="0" w:type="dxa"/>
            <w:bottom w:w="0" w:type="dxa"/>
            <w:right w:w="0" w:type="dxa"/>
          </w:tblCellMar>
        </w:tblPrEx>
        <w:trPr>
          <w:trHeight w:val="676" w:hRule="atLeast"/>
        </w:trPr>
        <w:tc>
          <w:tcPr>
            <w:tcW w:w="6866" w:type="dxa"/>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r>
              <w:rPr>
                <w:rFonts w:hint="eastAsia" w:ascii="宋体" w:hAnsi="宋体" w:eastAsia="宋体" w:cs="宋体"/>
                <w:b/>
                <w:color w:val="000000"/>
                <w:kern w:val="0"/>
                <w:sz w:val="24"/>
                <w:szCs w:val="24"/>
                <w:highlight w:val="none"/>
                <w:lang w:bidi="ar"/>
              </w:rPr>
              <w:t>项目名称：</w:t>
            </w:r>
          </w:p>
        </w:tc>
        <w:tc>
          <w:tcPr>
            <w:tcW w:w="68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75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32" w:hRule="atLeast"/>
        </w:trPr>
        <w:tc>
          <w:tcPr>
            <w:tcW w:w="552"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b/>
                <w:color w:val="000000"/>
                <w:kern w:val="0"/>
                <w:sz w:val="24"/>
                <w:highlight w:val="none"/>
                <w:lang w:bidi="ar"/>
              </w:rPr>
              <w:t>序号</w:t>
            </w:r>
          </w:p>
        </w:tc>
        <w:tc>
          <w:tcPr>
            <w:tcW w:w="631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b/>
                <w:color w:val="000000"/>
                <w:kern w:val="0"/>
                <w:sz w:val="24"/>
                <w:highlight w:val="none"/>
                <w:lang w:bidi="ar"/>
              </w:rPr>
              <w:t>评审内容</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评审意见</w:t>
            </w:r>
          </w:p>
          <w:p>
            <w:pPr>
              <w:widowControl/>
              <w:jc w:val="center"/>
              <w:textAlignment w:val="center"/>
              <w:rPr>
                <w:rFonts w:ascii="宋体" w:hAnsi="宋体" w:eastAsia="宋体" w:cs="宋体"/>
                <w:color w:val="000000"/>
                <w:sz w:val="24"/>
                <w:highlight w:val="none"/>
              </w:rPr>
            </w:pPr>
            <w:r>
              <w:rPr>
                <w:rFonts w:hint="eastAsia" w:ascii="宋体" w:hAnsi="宋体" w:eastAsia="宋体" w:cs="宋体"/>
                <w:b/>
                <w:color w:val="000000"/>
                <w:kern w:val="0"/>
                <w:sz w:val="24"/>
                <w:highlight w:val="none"/>
                <w:lang w:bidi="ar"/>
              </w:rPr>
              <w:t>（是否通过）</w:t>
            </w:r>
          </w:p>
        </w:tc>
      </w:tr>
      <w:tr>
        <w:tblPrEx>
          <w:tblCellMar>
            <w:top w:w="0" w:type="dxa"/>
            <w:left w:w="0" w:type="dxa"/>
            <w:bottom w:w="0" w:type="dxa"/>
            <w:right w:w="0" w:type="dxa"/>
          </w:tblCellMar>
        </w:tblPrEx>
        <w:trPr>
          <w:trHeight w:val="432" w:hRule="atLeast"/>
        </w:trPr>
        <w:tc>
          <w:tcPr>
            <w:tcW w:w="552"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highlight w:val="none"/>
              </w:rPr>
            </w:pPr>
          </w:p>
        </w:tc>
        <w:tc>
          <w:tcPr>
            <w:tcW w:w="631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highlight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highlight w:val="none"/>
              </w:rPr>
            </w:pPr>
            <w:r>
              <w:rPr>
                <w:rFonts w:hint="eastAsia" w:ascii="宋体" w:hAnsi="宋体" w:eastAsia="宋体" w:cs="宋体"/>
                <w:b/>
                <w:color w:val="000000"/>
                <w:kern w:val="0"/>
                <w:sz w:val="24"/>
                <w:highlight w:val="none"/>
                <w:lang w:bidi="ar"/>
              </w:rPr>
              <w:t>是</w:t>
            </w:r>
          </w:p>
        </w:tc>
        <w:tc>
          <w:tcPr>
            <w:tcW w:w="752"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highlight w:val="none"/>
              </w:rPr>
            </w:pPr>
            <w:r>
              <w:rPr>
                <w:rFonts w:hint="eastAsia" w:ascii="宋体" w:hAnsi="宋体" w:eastAsia="宋体" w:cs="宋体"/>
                <w:b/>
                <w:color w:val="000000"/>
                <w:kern w:val="0"/>
                <w:sz w:val="24"/>
                <w:highlight w:val="none"/>
                <w:lang w:bidi="ar"/>
              </w:rPr>
              <w:t>否</w:t>
            </w:r>
          </w:p>
        </w:tc>
      </w:tr>
      <w:tr>
        <w:tblPrEx>
          <w:tblCellMar>
            <w:top w:w="0" w:type="dxa"/>
            <w:left w:w="0" w:type="dxa"/>
            <w:bottom w:w="0" w:type="dxa"/>
            <w:right w:w="0" w:type="dxa"/>
          </w:tblCellMar>
        </w:tblPrEx>
        <w:trPr>
          <w:trHeight w:val="65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投标报价高于招标控制价的；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6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投标文件承诺的工期超过招标文件中工期要求的；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723"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3</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联合体各方在同一招标项目中以自己名义单独投标或者参加其他联合体投标的；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75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4</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同一项目投标人之间有控股关系或法定代表人为同一人的；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97"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5</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单位工程、单项工程的名称或结构与招标文件不一致的；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77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6</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改变招标文件提供工程量清单中的项目编码、项目名称、项目特征、计量单位和工程量的；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1091"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7</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改动规费、税金及安全文明施工费中“环境保护费、文明施工费、安全防护费”、“扬尘污染防治费”、“智慧工地基础配置费用”等不可竞争费的计费基础和费率的；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8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8</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改动暂列金、专业工程暂估价的；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8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9</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改动材料、设备等暂估单价的；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844"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10</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投标人名称、组织机构与获取招标文件时或资格预审时不符，涉嫌以他人名义投标的；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705"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11</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left="0" w:leftChars="0" w:firstLine="0" w:firstLine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投标人之间或者投标人与招标人之间串通投标的；</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759"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12</w:t>
            </w: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left="0" w:leftChars="0" w:firstLine="0" w:firstLine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不满足招标文件实质性要求的其他情形。</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17"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p>
        </w:tc>
        <w:tc>
          <w:tcPr>
            <w:tcW w:w="6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17" w:hRule="atLeast"/>
        </w:trPr>
        <w:tc>
          <w:tcPr>
            <w:tcW w:w="6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结论：是否通过评审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686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highlight w:val="none"/>
              </w:rPr>
            </w:pPr>
          </w:p>
        </w:tc>
        <w:tc>
          <w:tcPr>
            <w:tcW w:w="68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75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bl>
    <w:p>
      <w:pPr>
        <w:rPr>
          <w:rFonts w:ascii="仿宋" w:hAnsi="仿宋" w:eastAsia="仿宋" w:cs="仿宋"/>
          <w:sz w:val="24"/>
          <w:highlight w:val="none"/>
        </w:rPr>
      </w:pPr>
      <w:r>
        <w:rPr>
          <w:rFonts w:hint="eastAsia" w:ascii="仿宋" w:hAnsi="仿宋" w:eastAsia="仿宋" w:cs="仿宋"/>
          <w:sz w:val="24"/>
          <w:highlight w:val="none"/>
        </w:rPr>
        <w:br w:type="page"/>
      </w:r>
    </w:p>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附表1-4</w:t>
      </w:r>
    </w:p>
    <w:tbl>
      <w:tblPr>
        <w:tblStyle w:val="15"/>
        <w:tblW w:w="9000" w:type="dxa"/>
        <w:tblInd w:w="-316" w:type="dxa"/>
        <w:tblLayout w:type="fixed"/>
        <w:tblCellMar>
          <w:top w:w="0" w:type="dxa"/>
          <w:left w:w="0" w:type="dxa"/>
          <w:bottom w:w="0" w:type="dxa"/>
          <w:right w:w="0" w:type="dxa"/>
        </w:tblCellMar>
      </w:tblPr>
      <w:tblGrid>
        <w:gridCol w:w="598"/>
        <w:gridCol w:w="1184"/>
        <w:gridCol w:w="1481"/>
        <w:gridCol w:w="4847"/>
        <w:gridCol w:w="890"/>
      </w:tblGrid>
      <w:tr>
        <w:tblPrEx>
          <w:tblCellMar>
            <w:top w:w="0" w:type="dxa"/>
            <w:left w:w="0" w:type="dxa"/>
            <w:bottom w:w="0" w:type="dxa"/>
            <w:right w:w="0" w:type="dxa"/>
          </w:tblCellMar>
        </w:tblPrEx>
        <w:trPr>
          <w:trHeight w:val="741" w:hRule="atLeast"/>
        </w:trPr>
        <w:tc>
          <w:tcPr>
            <w:tcW w:w="9000"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40"/>
                <w:szCs w:val="40"/>
                <w:highlight w:val="none"/>
              </w:rPr>
            </w:pPr>
            <w:r>
              <w:rPr>
                <w:rFonts w:hint="eastAsia" w:ascii="宋体" w:hAnsi="宋体" w:eastAsia="宋体" w:cs="宋体"/>
                <w:b/>
                <w:color w:val="000000"/>
                <w:kern w:val="0"/>
                <w:sz w:val="36"/>
                <w:szCs w:val="36"/>
                <w:highlight w:val="none"/>
                <w:lang w:val="en-US" w:eastAsia="zh-CN" w:bidi="ar"/>
              </w:rPr>
              <w:t>商务标</w:t>
            </w:r>
            <w:r>
              <w:rPr>
                <w:rFonts w:hint="eastAsia" w:ascii="宋体" w:hAnsi="宋体" w:eastAsia="宋体" w:cs="宋体"/>
                <w:b/>
                <w:color w:val="000000"/>
                <w:kern w:val="0"/>
                <w:sz w:val="36"/>
                <w:szCs w:val="36"/>
                <w:highlight w:val="none"/>
                <w:lang w:bidi="ar"/>
              </w:rPr>
              <w:t>评审</w:t>
            </w:r>
            <w:r>
              <w:rPr>
                <w:rFonts w:hint="eastAsia" w:ascii="宋体" w:hAnsi="宋体" w:eastAsia="宋体" w:cs="宋体"/>
                <w:b/>
                <w:color w:val="000000"/>
                <w:kern w:val="0"/>
                <w:sz w:val="36"/>
                <w:szCs w:val="36"/>
                <w:highlight w:val="none"/>
                <w:lang w:val="en-US" w:eastAsia="zh-CN" w:bidi="ar"/>
              </w:rPr>
              <w:t>标准</w:t>
            </w:r>
          </w:p>
        </w:tc>
      </w:tr>
      <w:tr>
        <w:tblPrEx>
          <w:tblCellMar>
            <w:top w:w="0" w:type="dxa"/>
            <w:left w:w="0" w:type="dxa"/>
            <w:bottom w:w="0" w:type="dxa"/>
            <w:right w:w="0" w:type="dxa"/>
          </w:tblCellMar>
        </w:tblPrEx>
        <w:trPr>
          <w:trHeight w:val="500" w:hRule="atLeast"/>
        </w:trPr>
        <w:tc>
          <w:tcPr>
            <w:tcW w:w="3263" w:type="dxa"/>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r>
              <w:rPr>
                <w:rFonts w:hint="eastAsia" w:ascii="宋体" w:hAnsi="宋体" w:eastAsia="宋体" w:cs="宋体"/>
                <w:b/>
                <w:color w:val="000000"/>
                <w:kern w:val="0"/>
                <w:sz w:val="24"/>
                <w:szCs w:val="24"/>
                <w:highlight w:val="none"/>
                <w:lang w:bidi="ar"/>
              </w:rPr>
              <w:t>项目名称：</w:t>
            </w:r>
          </w:p>
        </w:tc>
        <w:tc>
          <w:tcPr>
            <w:tcW w:w="4847"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89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1076" w:hRule="atLeast"/>
        </w:trPr>
        <w:tc>
          <w:tcPr>
            <w:tcW w:w="598"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序号</w:t>
            </w:r>
          </w:p>
        </w:tc>
        <w:tc>
          <w:tcPr>
            <w:tcW w:w="2665" w:type="dxa"/>
            <w:gridSpan w:val="2"/>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评审项目及分值</w:t>
            </w:r>
          </w:p>
        </w:tc>
        <w:tc>
          <w:tcPr>
            <w:tcW w:w="484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评审标准</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评审</w:t>
            </w:r>
          </w:p>
          <w:p>
            <w:pPr>
              <w:widowControl/>
              <w:jc w:val="center"/>
              <w:textAlignment w:val="center"/>
              <w:rPr>
                <w:rFonts w:hint="eastAsia" w:ascii="宋体" w:hAnsi="宋体" w:eastAsia="宋体" w:cs="宋体"/>
                <w:b/>
                <w:color w:val="000000"/>
                <w:kern w:val="0"/>
                <w:sz w:val="24"/>
                <w:highlight w:val="none"/>
                <w:lang w:bidi="ar"/>
              </w:rPr>
            </w:pPr>
            <w:r>
              <w:rPr>
                <w:rFonts w:hint="eastAsia" w:ascii="宋体" w:hAnsi="宋体" w:eastAsia="宋体" w:cs="宋体"/>
                <w:b/>
                <w:color w:val="000000"/>
                <w:kern w:val="0"/>
                <w:sz w:val="24"/>
                <w:highlight w:val="none"/>
                <w:lang w:bidi="ar"/>
              </w:rPr>
              <w:t>计分</w:t>
            </w:r>
          </w:p>
        </w:tc>
      </w:tr>
      <w:tr>
        <w:tblPrEx>
          <w:tblCellMar>
            <w:top w:w="0" w:type="dxa"/>
            <w:left w:w="0" w:type="dxa"/>
            <w:bottom w:w="0" w:type="dxa"/>
            <w:right w:w="0" w:type="dxa"/>
          </w:tblCellMar>
        </w:tblPrEx>
        <w:trPr>
          <w:trHeight w:val="65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1</w:t>
            </w:r>
          </w:p>
        </w:tc>
        <w:tc>
          <w:tcPr>
            <w:tcW w:w="11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类似工</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程业绩</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（若有）</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（3分）</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投标人</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类似业绩</w:t>
            </w: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类似业绩每个 分，最高  分。</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6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2</w:t>
            </w:r>
          </w:p>
        </w:tc>
        <w:tc>
          <w:tcPr>
            <w:tcW w:w="11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项目负责人</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类似业绩</w:t>
            </w: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类似业绩每个 分，最高   分。</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919" w:hRule="atLeast"/>
        </w:trPr>
        <w:tc>
          <w:tcPr>
            <w:tcW w:w="59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3</w:t>
            </w:r>
          </w:p>
        </w:tc>
        <w:tc>
          <w:tcPr>
            <w:tcW w:w="118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项目管</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理机构</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（3分）</w:t>
            </w:r>
          </w:p>
        </w:tc>
        <w:tc>
          <w:tcPr>
            <w:tcW w:w="6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项目管理机构关键岗位人员（除项目负责人外）具备相关专业中级及以上职称的,每一人得0.5分，最多得2分；</w:t>
            </w:r>
          </w:p>
          <w:p>
            <w:pPr>
              <w:widowControl/>
              <w:jc w:val="both"/>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项目管理机构非关键岗位人员未在其他在建项目担任任何岗位人员的，得1分。</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99" w:hRule="atLeast"/>
        </w:trPr>
        <w:tc>
          <w:tcPr>
            <w:tcW w:w="59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p>
        </w:tc>
        <w:tc>
          <w:tcPr>
            <w:tcW w:w="118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项目负责人</w:t>
            </w:r>
          </w:p>
          <w:p>
            <w:pPr>
              <w:widowControl/>
              <w:jc w:val="center"/>
              <w:textAlignment w:val="center"/>
              <w:rPr>
                <w:rFonts w:hint="default"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职称</w:t>
            </w: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具备相关专业高级及以上职称得1分；</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具备相关专业中级职称得0.5分。</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75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财务状况</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（1分）</w:t>
            </w:r>
          </w:p>
        </w:tc>
        <w:tc>
          <w:tcPr>
            <w:tcW w:w="6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近  年（指   年度、   年度、  年度）经会计师事务所或审计机构审计的财务审计报告，包括资产负债表、现金流量表、损益表和财务报表附注；评委根据资产负债率、净现金流量、净利润情况打分，具体指标由招标人在招标文件中明确。</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97" w:hRule="atLeast"/>
        </w:trPr>
        <w:tc>
          <w:tcPr>
            <w:tcW w:w="59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5</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标准化</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工地</w:t>
            </w:r>
          </w:p>
          <w:p>
            <w:pPr>
              <w:widowControl/>
              <w:jc w:val="center"/>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（3分）</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国家级</w:t>
            </w: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default" w:ascii="宋体" w:hAnsi="宋体" w:eastAsia="宋体"/>
                <w:color w:val="000000"/>
                <w:kern w:val="0"/>
                <w:sz w:val="24"/>
                <w:highlight w:val="none"/>
                <w:lang w:val="en-US" w:eastAsia="zh-CN"/>
              </w:rPr>
            </w:pPr>
            <w:r>
              <w:rPr>
                <w:rFonts w:hint="eastAsia" w:ascii="宋体" w:hAnsi="宋体" w:eastAsia="宋体" w:cs="仿宋_GB2312"/>
                <w:sz w:val="24"/>
                <w:szCs w:val="24"/>
                <w:highlight w:val="none"/>
                <w:lang w:val="en-US" w:eastAsia="zh-CN"/>
              </w:rPr>
              <w:t>取得</w:t>
            </w:r>
            <w:r>
              <w:rPr>
                <w:rFonts w:hint="eastAsia" w:ascii="宋体" w:hAnsi="宋体" w:eastAsia="宋体" w:cs="仿宋_GB2312"/>
                <w:sz w:val="24"/>
                <w:szCs w:val="24"/>
                <w:highlight w:val="none"/>
              </w:rPr>
              <w:t>国家AAA级安全生产标准化工地</w:t>
            </w:r>
            <w:r>
              <w:rPr>
                <w:rFonts w:hint="eastAsia" w:ascii="宋体" w:hAnsi="宋体" w:eastAsia="宋体" w:cs="仿宋_GB2312"/>
                <w:sz w:val="24"/>
                <w:szCs w:val="24"/>
                <w:highlight w:val="none"/>
                <w:lang w:val="en-US" w:eastAsia="zh-CN"/>
              </w:rPr>
              <w:t>的</w:t>
            </w:r>
            <w:r>
              <w:rPr>
                <w:rFonts w:hint="eastAsia" w:ascii="宋体" w:hAnsi="宋体" w:eastAsia="宋体" w:cs="仿宋_GB2312"/>
                <w:sz w:val="24"/>
                <w:szCs w:val="24"/>
                <w:highlight w:val="none"/>
                <w:lang w:eastAsia="zh-CN"/>
              </w:rPr>
              <w:t>，</w:t>
            </w:r>
            <w:r>
              <w:rPr>
                <w:rFonts w:hint="eastAsia" w:ascii="宋体" w:hAnsi="宋体" w:eastAsia="宋体" w:cs="仿宋_GB2312"/>
                <w:sz w:val="24"/>
                <w:szCs w:val="24"/>
                <w:highlight w:val="none"/>
                <w:lang w:val="en-US" w:eastAsia="zh-CN"/>
              </w:rPr>
              <w:t>得1分。</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97" w:hRule="atLeast"/>
        </w:trPr>
        <w:tc>
          <w:tcPr>
            <w:tcW w:w="5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p>
        </w:tc>
        <w:tc>
          <w:tcPr>
            <w:tcW w:w="118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p>
        </w:tc>
        <w:tc>
          <w:tcPr>
            <w:tcW w:w="14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Theme="minorEastAsia" w:cstheme="minorBidi"/>
                <w:color w:val="000000"/>
                <w:kern w:val="0"/>
                <w:sz w:val="24"/>
                <w:szCs w:val="24"/>
                <w:highlight w:val="none"/>
                <w:lang w:val="en-US" w:eastAsia="zh-CN" w:bidi="ar-SA"/>
              </w:rPr>
            </w:pPr>
            <w:r>
              <w:rPr>
                <w:rFonts w:hint="eastAsia" w:ascii="宋体" w:hAnsi="宋体" w:cstheme="minorBidi"/>
                <w:color w:val="000000"/>
                <w:kern w:val="0"/>
                <w:sz w:val="24"/>
                <w:szCs w:val="24"/>
                <w:highlight w:val="none"/>
                <w:lang w:val="en-US" w:eastAsia="zh-CN" w:bidi="ar-SA"/>
              </w:rPr>
              <w:t>自治区级</w:t>
            </w: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default" w:ascii="宋体" w:hAnsi="宋体" w:eastAsiaTheme="minorEastAsia" w:cstheme="minorBidi"/>
                <w:color w:val="000000"/>
                <w:kern w:val="0"/>
                <w:sz w:val="24"/>
                <w:szCs w:val="24"/>
                <w:highlight w:val="none"/>
                <w:lang w:val="en-US" w:eastAsia="zh-CN" w:bidi="ar-SA"/>
              </w:rPr>
            </w:pPr>
            <w:r>
              <w:rPr>
                <w:rFonts w:hint="eastAsia" w:ascii="宋体" w:hAnsi="宋体"/>
                <w:color w:val="000000"/>
                <w:kern w:val="0"/>
                <w:sz w:val="24"/>
                <w:highlight w:val="none"/>
                <w:lang w:val="en-US" w:eastAsia="zh-CN"/>
              </w:rPr>
              <w:t>取得自治区建筑施工安全生产标准化年度项目考评“优良”工地，每个0.5分，最多得1分。</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719" w:hRule="atLeast"/>
        </w:trPr>
        <w:tc>
          <w:tcPr>
            <w:tcW w:w="59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p>
        </w:tc>
        <w:tc>
          <w:tcPr>
            <w:tcW w:w="14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olor w:val="000000"/>
                <w:kern w:val="0"/>
                <w:sz w:val="24"/>
                <w:highlight w:val="none"/>
                <w:lang w:val="en-US" w:eastAsia="zh-CN"/>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color w:val="000000"/>
                <w:kern w:val="0"/>
                <w:sz w:val="24"/>
                <w:highlight w:val="none"/>
                <w:lang w:val="en-US" w:eastAsia="zh-CN"/>
              </w:rPr>
            </w:pPr>
            <w:r>
              <w:rPr>
                <w:rFonts w:hint="eastAsia" w:ascii="宋体" w:hAnsi="宋体"/>
                <w:color w:val="000000"/>
                <w:kern w:val="0"/>
                <w:sz w:val="24"/>
                <w:highlight w:val="none"/>
                <w:lang w:val="en-US" w:eastAsia="zh-CN"/>
              </w:rPr>
              <w:t>近  年，企业年度安全生产标准化评定为“优良”的，一个年度得0.5分，最多得1分。</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58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color w:val="000000"/>
                <w:kern w:val="0"/>
                <w:sz w:val="24"/>
                <w:highlight w:val="none"/>
                <w:lang w:bidi="ar"/>
              </w:rPr>
              <w:t>……</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28" w:hRule="atLeast"/>
        </w:trPr>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满分</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10分</w:t>
            </w:r>
          </w:p>
        </w:tc>
        <w:tc>
          <w:tcPr>
            <w:tcW w:w="4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highlight w:val="none"/>
              </w:rPr>
            </w:pPr>
          </w:p>
        </w:tc>
      </w:tr>
    </w:tbl>
    <w:p>
      <w:pPr>
        <w:bidi w:val="0"/>
        <w:rPr>
          <w:rFonts w:hint="eastAsia"/>
          <w:highlight w:val="none"/>
        </w:rPr>
      </w:pPr>
      <w:r>
        <w:rPr>
          <w:rFonts w:hint="eastAsia"/>
          <w:highlight w:val="none"/>
          <w:lang w:val="en-US" w:eastAsia="zh-CN"/>
        </w:rPr>
        <w:t>备注：1、类似业绩的要求执行本办法第十九、二十条的规定。</w:t>
      </w:r>
      <w:r>
        <w:rPr>
          <w:rFonts w:hint="eastAsia"/>
          <w:highlight w:val="none"/>
        </w:rPr>
        <w:t>拟任项目</w:t>
      </w:r>
      <w:r>
        <w:rPr>
          <w:rFonts w:hint="eastAsia"/>
          <w:highlight w:val="none"/>
          <w:lang w:val="en-US" w:eastAsia="zh-CN"/>
        </w:rPr>
        <w:t>负责人</w:t>
      </w:r>
      <w:r>
        <w:rPr>
          <w:rFonts w:hint="eastAsia"/>
          <w:highlight w:val="none"/>
        </w:rPr>
        <w:t>在其他项目担任项目</w:t>
      </w:r>
      <w:r>
        <w:rPr>
          <w:rFonts w:hint="eastAsia"/>
          <w:highlight w:val="none"/>
          <w:lang w:val="en-US" w:eastAsia="zh-CN"/>
        </w:rPr>
        <w:t>负责人</w:t>
      </w:r>
      <w:r>
        <w:rPr>
          <w:rFonts w:hint="eastAsia"/>
          <w:highlight w:val="none"/>
        </w:rPr>
        <w:t>期间发生过变更撤换且在该项目完成合同约定工作量或合同约定本职工作</w:t>
      </w:r>
      <w:r>
        <w:rPr>
          <w:rFonts w:hint="eastAsia"/>
          <w:highlight w:val="none"/>
          <w:lang w:val="en-US" w:eastAsia="zh-CN"/>
        </w:rPr>
        <w:t>或竣工验收</w:t>
      </w:r>
      <w:r>
        <w:rPr>
          <w:rFonts w:hint="eastAsia"/>
          <w:highlight w:val="none"/>
        </w:rPr>
        <w:t>之前，参与本项目投标的，不对该项目</w:t>
      </w:r>
      <w:r>
        <w:rPr>
          <w:rFonts w:hint="eastAsia"/>
          <w:highlight w:val="none"/>
          <w:lang w:val="en-US" w:eastAsia="zh-CN"/>
        </w:rPr>
        <w:t>负责人</w:t>
      </w:r>
      <w:r>
        <w:rPr>
          <w:rFonts w:hint="eastAsia"/>
          <w:highlight w:val="none"/>
        </w:rPr>
        <w:t>的类似工程业绩计分；存在上述情形的，投标人应当在投标文件中如实说明，未如实说明的，</w:t>
      </w:r>
      <w:r>
        <w:rPr>
          <w:rFonts w:hint="eastAsia"/>
          <w:highlight w:val="none"/>
          <w:lang w:val="en-US" w:eastAsia="zh-CN"/>
        </w:rPr>
        <w:t>按弄虚作假进行处理</w:t>
      </w:r>
      <w:r>
        <w:rPr>
          <w:rFonts w:hint="eastAsia"/>
          <w:highlight w:val="none"/>
        </w:rPr>
        <w:t>。（适用于：项目</w:t>
      </w:r>
      <w:r>
        <w:rPr>
          <w:rFonts w:hint="eastAsia"/>
          <w:highlight w:val="none"/>
          <w:lang w:val="en-US" w:eastAsia="zh-CN"/>
        </w:rPr>
        <w:t>负责人</w:t>
      </w:r>
      <w:r>
        <w:rPr>
          <w:rFonts w:hint="eastAsia"/>
          <w:highlight w:val="none"/>
        </w:rPr>
        <w:t>业绩加分的项目）</w:t>
      </w:r>
    </w:p>
    <w:p>
      <w:pPr>
        <w:bidi w:val="0"/>
        <w:rPr>
          <w:rFonts w:hint="default"/>
          <w:highlight w:val="none"/>
          <w:lang w:val="en-US" w:eastAsia="zh-CN"/>
        </w:rPr>
      </w:pPr>
      <w:r>
        <w:rPr>
          <w:rFonts w:hint="eastAsia"/>
          <w:highlight w:val="none"/>
          <w:lang w:val="en-US" w:eastAsia="zh-CN"/>
        </w:rPr>
        <w:t>2、同一建设工程项目同时获得国家级</w:t>
      </w:r>
      <w:r>
        <w:rPr>
          <w:rFonts w:hint="eastAsia"/>
          <w:highlight w:val="none"/>
        </w:rPr>
        <w:t>AAA级安全生产标准化工地</w:t>
      </w:r>
      <w:r>
        <w:rPr>
          <w:rFonts w:hint="eastAsia"/>
          <w:highlight w:val="none"/>
          <w:lang w:val="en-US" w:eastAsia="zh-CN"/>
        </w:rPr>
        <w:t>和自治区建筑施工安全生产标准化年度项目考评“优良”工地，只算一项。</w:t>
      </w:r>
    </w:p>
    <w:p>
      <w:pPr>
        <w:rPr>
          <w:rFonts w:hint="eastAsia" w:ascii="仿宋" w:hAnsi="仿宋" w:eastAsia="仿宋" w:cs="仿宋"/>
          <w:b/>
          <w:bCs/>
          <w:sz w:val="32"/>
          <w:szCs w:val="32"/>
          <w:highlight w:val="none"/>
        </w:rPr>
      </w:pPr>
    </w:p>
    <w:p>
      <w:pPr>
        <w:rPr>
          <w:rFonts w:hint="eastAsia" w:ascii="仿宋_GB2312" w:eastAsia="仿宋" w:cs="Times New Roman"/>
          <w:sz w:val="24"/>
          <w:szCs w:val="22"/>
          <w:highlight w:val="none"/>
          <w:lang w:eastAsia="zh-CN"/>
        </w:rPr>
      </w:pPr>
      <w:r>
        <w:rPr>
          <w:rFonts w:hint="eastAsia" w:ascii="仿宋" w:hAnsi="仿宋" w:eastAsia="仿宋" w:cs="仿宋"/>
          <w:b/>
          <w:bCs/>
          <w:sz w:val="32"/>
          <w:szCs w:val="32"/>
          <w:highlight w:val="none"/>
        </w:rPr>
        <w:t>附表1-</w:t>
      </w:r>
      <w:r>
        <w:rPr>
          <w:rFonts w:hint="eastAsia" w:ascii="仿宋" w:hAnsi="仿宋" w:eastAsia="仿宋" w:cs="仿宋"/>
          <w:b/>
          <w:bCs/>
          <w:sz w:val="32"/>
          <w:szCs w:val="32"/>
          <w:highlight w:val="none"/>
          <w:lang w:val="en-US" w:eastAsia="zh-CN"/>
        </w:rPr>
        <w:t>5</w:t>
      </w:r>
    </w:p>
    <w:tbl>
      <w:tblPr>
        <w:tblStyle w:val="15"/>
        <w:tblpPr w:leftFromText="180" w:rightFromText="180" w:vertAnchor="text" w:horzAnchor="page" w:tblpX="1317" w:tblpY="487"/>
        <w:tblOverlap w:val="never"/>
        <w:tblW w:w="5509" w:type="pct"/>
        <w:tblInd w:w="0" w:type="dxa"/>
        <w:tblLayout w:type="fixed"/>
        <w:tblCellMar>
          <w:top w:w="0" w:type="dxa"/>
          <w:left w:w="0" w:type="dxa"/>
          <w:bottom w:w="0" w:type="dxa"/>
          <w:right w:w="0" w:type="dxa"/>
        </w:tblCellMar>
      </w:tblPr>
      <w:tblGrid>
        <w:gridCol w:w="665"/>
        <w:gridCol w:w="1831"/>
        <w:gridCol w:w="5679"/>
        <w:gridCol w:w="1010"/>
      </w:tblGrid>
      <w:tr>
        <w:tblPrEx>
          <w:tblCellMar>
            <w:top w:w="0" w:type="dxa"/>
            <w:left w:w="0" w:type="dxa"/>
            <w:bottom w:w="0" w:type="dxa"/>
            <w:right w:w="0" w:type="dxa"/>
          </w:tblCellMar>
        </w:tblPrEx>
        <w:trPr>
          <w:trHeight w:val="780"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b/>
                <w:color w:val="000000"/>
                <w:sz w:val="40"/>
                <w:szCs w:val="40"/>
                <w:highlight w:val="none"/>
                <w:lang w:eastAsia="zh-CN"/>
              </w:rPr>
            </w:pPr>
            <w:r>
              <w:rPr>
                <w:rFonts w:hint="eastAsia" w:ascii="宋体" w:hAnsi="宋体" w:eastAsia="宋体" w:cs="宋体"/>
                <w:b/>
                <w:color w:val="000000"/>
                <w:kern w:val="0"/>
                <w:sz w:val="36"/>
                <w:szCs w:val="36"/>
                <w:highlight w:val="none"/>
                <w:lang w:bidi="ar"/>
              </w:rPr>
              <w:t>技术标</w:t>
            </w:r>
            <w:r>
              <w:rPr>
                <w:rFonts w:hint="eastAsia" w:ascii="宋体" w:hAnsi="宋体" w:eastAsia="宋体" w:cs="宋体"/>
                <w:b/>
                <w:color w:val="000000"/>
                <w:kern w:val="0"/>
                <w:sz w:val="36"/>
                <w:szCs w:val="36"/>
                <w:highlight w:val="none"/>
                <w:lang w:val="en-US" w:eastAsia="zh-CN" w:bidi="ar"/>
              </w:rPr>
              <w:t>评审标准（计分制）</w:t>
            </w:r>
          </w:p>
        </w:tc>
      </w:tr>
      <w:tr>
        <w:tblPrEx>
          <w:tblCellMar>
            <w:top w:w="0" w:type="dxa"/>
            <w:left w:w="0" w:type="dxa"/>
            <w:bottom w:w="0" w:type="dxa"/>
            <w:right w:w="0" w:type="dxa"/>
          </w:tblCellMar>
        </w:tblPrEx>
        <w:trPr>
          <w:trHeight w:val="780" w:hRule="atLeast"/>
        </w:trPr>
        <w:tc>
          <w:tcPr>
            <w:tcW w:w="1358" w:type="pct"/>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4"/>
                <w:highlight w:val="none"/>
              </w:rPr>
            </w:pPr>
            <w:r>
              <w:rPr>
                <w:rFonts w:hint="eastAsia" w:ascii="宋体" w:hAnsi="宋体" w:eastAsia="宋体" w:cs="宋体"/>
                <w:b/>
                <w:color w:val="000000"/>
                <w:kern w:val="0"/>
                <w:sz w:val="24"/>
                <w:szCs w:val="24"/>
                <w:highlight w:val="none"/>
                <w:lang w:bidi="ar"/>
              </w:rPr>
              <w:t>项目名称：</w:t>
            </w:r>
          </w:p>
        </w:tc>
        <w:tc>
          <w:tcPr>
            <w:tcW w:w="3091" w:type="pct"/>
            <w:tcBorders>
              <w:top w:val="nil"/>
              <w:left w:val="nil"/>
              <w:bottom w:val="nil"/>
              <w:right w:val="nil"/>
            </w:tcBorders>
            <w:shd w:val="clear" w:color="auto" w:fill="auto"/>
            <w:noWrap/>
            <w:tcMar>
              <w:top w:w="15" w:type="dxa"/>
              <w:left w:w="15" w:type="dxa"/>
              <w:right w:w="15" w:type="dxa"/>
            </w:tcMar>
            <w:vAlign w:val="center"/>
          </w:tcPr>
          <w:p>
            <w:pPr>
              <w:jc w:val="center"/>
              <w:rPr>
                <w:rFonts w:ascii="黑体" w:hAnsi="宋体" w:eastAsia="黑体" w:cs="黑体"/>
                <w:b/>
                <w:color w:val="000000"/>
                <w:sz w:val="32"/>
                <w:szCs w:val="32"/>
                <w:highlight w:val="none"/>
              </w:rPr>
            </w:pPr>
          </w:p>
        </w:tc>
        <w:tc>
          <w:tcPr>
            <w:tcW w:w="549" w:type="pct"/>
            <w:tcBorders>
              <w:top w:val="nil"/>
              <w:left w:val="nil"/>
              <w:bottom w:val="nil"/>
              <w:right w:val="nil"/>
            </w:tcBorders>
            <w:shd w:val="clear" w:color="auto" w:fill="auto"/>
            <w:noWrap/>
            <w:tcMar>
              <w:top w:w="15" w:type="dxa"/>
              <w:left w:w="15" w:type="dxa"/>
              <w:right w:w="15" w:type="dxa"/>
            </w:tcMar>
            <w:vAlign w:val="center"/>
          </w:tcPr>
          <w:p>
            <w:pPr>
              <w:jc w:val="center"/>
              <w:rPr>
                <w:rFonts w:ascii="黑体" w:hAnsi="宋体" w:eastAsia="黑体" w:cs="黑体"/>
                <w:b/>
                <w:color w:val="000000"/>
                <w:sz w:val="32"/>
                <w:szCs w:val="32"/>
                <w:highlight w:val="none"/>
              </w:rPr>
            </w:pPr>
          </w:p>
        </w:tc>
      </w:tr>
      <w:tr>
        <w:tblPrEx>
          <w:tblCellMar>
            <w:top w:w="0" w:type="dxa"/>
            <w:left w:w="0" w:type="dxa"/>
            <w:bottom w:w="0" w:type="dxa"/>
            <w:right w:w="0" w:type="dxa"/>
          </w:tblCellMar>
        </w:tblPrEx>
        <w:trPr>
          <w:trHeight w:val="52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序号</w:t>
            </w:r>
          </w:p>
        </w:tc>
        <w:tc>
          <w:tcPr>
            <w:tcW w:w="99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评审项目</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评审标准</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分值</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15" w:leftChars="0" w:right="0"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4" w:leftChars="0" w:right="0"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工程概况</w:t>
            </w:r>
          </w:p>
          <w:p>
            <w:pPr>
              <w:pStyle w:val="29"/>
              <w:spacing w:before="42"/>
              <w:ind w:left="4" w:leftChars="0" w:right="0"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及特点</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4" w:leftChars="0" w:right="0" w:righ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对工程总体概况及特点表述清晰、完整、符合实际</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spacing w:before="42"/>
              <w:ind w:left="15" w:leftChars="0" w:right="0" w:righ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4</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15" w:leftChars="0" w:right="0"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2</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4" w:leftChars="0" w:right="0"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施工准备计划</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4" w:leftChars="0" w:right="0" w:righ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施工技术、现场、物资与机械、队伍准备计划充分保证工程需要</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spacing w:before="42"/>
              <w:ind w:left="15" w:leftChars="0" w:right="0" w:righ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4</w:t>
            </w:r>
          </w:p>
        </w:tc>
      </w:tr>
      <w:tr>
        <w:tblPrEx>
          <w:tblCellMar>
            <w:top w:w="0" w:type="dxa"/>
            <w:left w:w="0" w:type="dxa"/>
            <w:bottom w:w="0" w:type="dxa"/>
            <w:right w:w="0" w:type="dxa"/>
          </w:tblCellMar>
        </w:tblPrEx>
        <w:trPr>
          <w:trHeight w:val="759"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15" w:leftChars="0" w:right="0"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3</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right="0"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施工方案</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4"/>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施工方案符合工程实际情况，部署及措施先进、可靠，以提高生产率、缩短工期、提高质量、降低消耗为目标：</w:t>
            </w:r>
          </w:p>
          <w:p>
            <w:pPr>
              <w:pStyle w:val="29"/>
              <w:spacing w:before="42"/>
              <w:ind w:left="4"/>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针对项目的重点、难点分析应透彻，解决方案切实可行；</w:t>
            </w:r>
          </w:p>
          <w:p>
            <w:pPr>
              <w:pStyle w:val="29"/>
              <w:spacing w:before="4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市政基础设施项目，交通组织规划合理、可行，交通组织措施得力。</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ind w:left="15" w:leftChars="0" w:right="0" w:righ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8</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15"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4</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施工进度计划</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进度计划应在空间和时间上做合理的统筹安排且符合施工的科学规律</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spacing w:before="32"/>
              <w:ind w:left="15"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8</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5</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施工平面布置</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施工平面布置应符合工程实际，有针对性、布置合理，满足施工需要，便于施工和管理并符合安全、文明生产要求。</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8</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6</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劳动力</w:t>
            </w:r>
          </w:p>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需用量计划</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劳动力投入计划与施工部署、施工方法及进度计划能够相互呼应并较好满足施工需要</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8</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7</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材料</w:t>
            </w:r>
          </w:p>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需用量计划</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材料投入计划与施工部署、施工方法及进度计划能够相互呼应并较好满足施工需要</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8</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8</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机械设备</w:t>
            </w:r>
          </w:p>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需用量计划</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机械投入计划与施工部署、施工方法及进度计划能够相互呼应并较好满足施工需要</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8</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9</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质量保证</w:t>
            </w:r>
          </w:p>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措施和体系</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保证措施应符合科学的施工规律、国家规定的强制性标准并有针对性，同时要符合实际情况，切实可行。质量目标明确，管理机构健全，职责分工明确；管理制度齐全；实施措施全面、有效。</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8</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166" w:leftChars="0" w:right="151"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10</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工期保证</w:t>
            </w:r>
          </w:p>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措施和体系</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总工期及节点工期满足招标文件要求；施工进度计划内容全面，线路清晰、准确、完整，计划编制合理、可行；措施有力、合理、可行。</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8</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166" w:leftChars="0" w:right="151"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11</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zh-CN" w:eastAsia="zh-CN" w:bidi="ar-SA"/>
              </w:rPr>
              <w:t>安全保证</w:t>
            </w:r>
          </w:p>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zh-CN" w:eastAsia="zh-CN" w:bidi="ar-SA"/>
              </w:rPr>
              <w:t>措施和体系</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jc w:val="both"/>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保证措施应符合国家及自治区规定的强制性标准并有针对性，同时要符合实际</w:t>
            </w:r>
            <w:r>
              <w:rPr>
                <w:rFonts w:hint="default" w:ascii="宋体" w:hAnsi="宋体" w:eastAsiaTheme="minorEastAsia" w:cstheme="minorBidi"/>
                <w:color w:val="000000"/>
                <w:kern w:val="0"/>
                <w:sz w:val="24"/>
                <w:szCs w:val="24"/>
                <w:highlight w:val="none"/>
                <w:lang w:val="en-US" w:eastAsia="zh-CN" w:bidi="ar-SA"/>
              </w:rPr>
              <w:t>情况，切实可行。</w:t>
            </w:r>
          </w:p>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zh-CN" w:eastAsia="zh-CN" w:bidi="ar-SA"/>
              </w:rPr>
              <w:t>安全目标明确，优于招标文件要求；管理机构健全，职责分工明确；管理制度齐全；实施与监控措施全面、有效。</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ind w:left="15"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9</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166" w:leftChars="0" w:right="151"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12</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zh-CN" w:eastAsia="zh-CN" w:bidi="ar-SA"/>
              </w:rPr>
              <w:t>现场文明</w:t>
            </w:r>
          </w:p>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zh-CN" w:eastAsia="zh-CN" w:bidi="ar-SA"/>
              </w:rPr>
              <w:t>施工措施</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zh-CN" w:eastAsia="zh-CN" w:bidi="ar-SA"/>
              </w:rPr>
              <w:t>管理措施目标明确，符合工程实际情况，切实可行；管理机构健全，职责分工明确；管理制度齐全；</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spacing w:before="32"/>
              <w:ind w:left="15"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9</w:t>
            </w:r>
          </w:p>
        </w:tc>
      </w:tr>
      <w:tr>
        <w:tblPrEx>
          <w:tblCellMar>
            <w:top w:w="0" w:type="dxa"/>
            <w:left w:w="0" w:type="dxa"/>
            <w:bottom w:w="0" w:type="dxa"/>
            <w:right w:w="0" w:type="dxa"/>
          </w:tblCellMar>
        </w:tblPrEx>
        <w:trPr>
          <w:trHeight w:val="539"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151"/>
              <w:ind w:right="151"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eastAsiaTheme="minorEastAsia" w:cstheme="minorBidi"/>
                <w:color w:val="000000"/>
                <w:kern w:val="0"/>
                <w:sz w:val="24"/>
                <w:szCs w:val="24"/>
                <w:highlight w:val="none"/>
                <w:lang w:val="en-US" w:eastAsia="zh-CN" w:bidi="ar-SA"/>
              </w:rPr>
              <w:t xml:space="preserve"> </w:t>
            </w:r>
            <w:r>
              <w:rPr>
                <w:rFonts w:hint="eastAsia" w:ascii="宋体" w:hAnsi="宋体" w:eastAsiaTheme="minorEastAsia" w:cstheme="minorBidi"/>
                <w:color w:val="000000"/>
                <w:kern w:val="0"/>
                <w:sz w:val="24"/>
                <w:szCs w:val="24"/>
                <w:highlight w:val="none"/>
                <w:lang w:val="en-US" w:eastAsia="zh-CN" w:bidi="ar-SA"/>
              </w:rPr>
              <w:t>13</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智慧工地</w:t>
            </w:r>
          </w:p>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及防疫措施</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智慧工地</w:t>
            </w:r>
            <w:r>
              <w:rPr>
                <w:rFonts w:hint="eastAsia" w:eastAsiaTheme="minorEastAsia" w:cstheme="minorBidi"/>
                <w:color w:val="000000"/>
                <w:kern w:val="0"/>
                <w:sz w:val="24"/>
                <w:szCs w:val="24"/>
                <w:highlight w:val="none"/>
                <w:lang w:val="en-US" w:eastAsia="zh-CN" w:bidi="ar-SA"/>
              </w:rPr>
              <w:t>系统应用实施方案</w:t>
            </w:r>
            <w:r>
              <w:rPr>
                <w:rFonts w:hint="eastAsia" w:ascii="宋体" w:hAnsi="宋体" w:eastAsiaTheme="minorEastAsia" w:cstheme="minorBidi"/>
                <w:color w:val="000000"/>
                <w:kern w:val="0"/>
                <w:sz w:val="24"/>
                <w:szCs w:val="24"/>
                <w:highlight w:val="none"/>
                <w:lang w:val="en-US" w:eastAsia="zh-CN" w:bidi="ar-SA"/>
              </w:rPr>
              <w:t>、防疫措施切实可行。</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spacing w:before="151"/>
              <w:ind w:left="159" w:leftChars="0" w:right="144" w:righ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7</w:t>
            </w:r>
          </w:p>
        </w:tc>
      </w:tr>
      <w:tr>
        <w:tblPrEx>
          <w:tblCellMar>
            <w:top w:w="0" w:type="dxa"/>
            <w:left w:w="0" w:type="dxa"/>
            <w:bottom w:w="0" w:type="dxa"/>
            <w:right w:w="0" w:type="dxa"/>
          </w:tblCellMar>
        </w:tblPrEx>
        <w:trPr>
          <w:trHeight w:val="74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line="333" w:lineRule="auto"/>
              <w:ind w:left="4" w:leftChars="0" w:right="182"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 xml:space="preserve"> 14</w:t>
            </w: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BIM技术应用</w:t>
            </w:r>
          </w:p>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（如有）</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BIM技术应用管理体系健全，管理制度、保障措施齐全；BIM应用流程与计划完整、有效；重点工艺节点及施工流程BIM三维模型科学、合理等。</w:t>
            </w: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29"/>
              <w:spacing w:before="151"/>
              <w:ind w:left="159" w:leftChars="0" w:right="144"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3</w:t>
            </w:r>
          </w:p>
        </w:tc>
      </w:tr>
      <w:tr>
        <w:tblPrEx>
          <w:tblCellMar>
            <w:top w:w="0" w:type="dxa"/>
            <w:left w:w="0" w:type="dxa"/>
            <w:bottom w:w="0" w:type="dxa"/>
            <w:right w:w="0" w:type="dxa"/>
          </w:tblCellMar>
        </w:tblPrEx>
        <w:trPr>
          <w:trHeight w:val="880" w:hRule="atLeast"/>
        </w:trPr>
        <w:tc>
          <w:tcPr>
            <w:tcW w:w="36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p>
        </w:tc>
        <w:tc>
          <w:tcPr>
            <w:tcW w:w="99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w:t>
            </w:r>
          </w:p>
        </w:tc>
        <w:tc>
          <w:tcPr>
            <w:tcW w:w="309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宋体" w:cs="宋体"/>
                <w:color w:val="000000"/>
                <w:kern w:val="0"/>
                <w:sz w:val="24"/>
                <w:highlight w:val="none"/>
                <w:lang w:val="en-US" w:eastAsia="zh-CN"/>
              </w:rPr>
            </w:pPr>
          </w:p>
        </w:tc>
        <w:tc>
          <w:tcPr>
            <w:tcW w:w="54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880" w:hRule="atLeast"/>
        </w:trPr>
        <w:tc>
          <w:tcPr>
            <w:tcW w:w="5000" w:type="pct"/>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0"/>
              </w:numPr>
              <w:rPr>
                <w:rFonts w:hint="eastAsia" w:ascii="宋体" w:hAnsi="宋体" w:eastAsiaTheme="minorEastAsia" w:cstheme="minorBidi"/>
                <w:color w:val="000000"/>
                <w:kern w:val="0"/>
                <w:sz w:val="21"/>
                <w:szCs w:val="21"/>
                <w:highlight w:val="none"/>
                <w:lang w:val="en-US" w:eastAsia="zh-CN" w:bidi="ar-SA"/>
              </w:rPr>
            </w:pPr>
            <w:r>
              <w:rPr>
                <w:rFonts w:hint="eastAsia" w:ascii="宋体" w:hAnsi="宋体" w:eastAsiaTheme="minorEastAsia" w:cstheme="minorBidi"/>
                <w:color w:val="000000"/>
                <w:kern w:val="0"/>
                <w:sz w:val="21"/>
                <w:szCs w:val="21"/>
                <w:highlight w:val="none"/>
                <w:lang w:val="en-US" w:eastAsia="zh-CN" w:bidi="ar-SA"/>
              </w:rPr>
              <w:t>1、评委对各投标人同一评分内容量化打分时，如最高得分与最低得分相差25%（含25%）以上时，应做出合理的解释说明，否则不予计分。</w:t>
            </w:r>
          </w:p>
          <w:p>
            <w:pPr>
              <w:numPr>
                <w:ilvl w:val="0"/>
                <w:numId w:val="0"/>
              </w:numPr>
              <w:rPr>
                <w:rFonts w:hint="eastAsia" w:ascii="宋体" w:hAnsi="宋体" w:eastAsiaTheme="minorEastAsia" w:cstheme="minorBidi"/>
                <w:color w:val="000000"/>
                <w:kern w:val="0"/>
                <w:sz w:val="21"/>
                <w:szCs w:val="21"/>
                <w:highlight w:val="none"/>
                <w:lang w:val="en-US" w:eastAsia="zh-CN" w:bidi="ar-SA"/>
              </w:rPr>
            </w:pPr>
            <w:r>
              <w:rPr>
                <w:rFonts w:hint="eastAsia" w:ascii="宋体" w:hAnsi="宋体" w:eastAsiaTheme="minorEastAsia" w:cstheme="minorBidi"/>
                <w:color w:val="000000"/>
                <w:kern w:val="0"/>
                <w:sz w:val="21"/>
                <w:szCs w:val="21"/>
                <w:highlight w:val="none"/>
                <w:lang w:val="en-US" w:eastAsia="zh-CN" w:bidi="ar-SA"/>
              </w:rPr>
              <w:t>2、技术标评标时凡被评标委员会明确为明示和暗示的，应在技术标总得分（乘完权重后）中扣除：明示扣5分，暗示扣3分。</w:t>
            </w:r>
          </w:p>
          <w:p>
            <w:pPr>
              <w:pStyle w:val="2"/>
              <w:ind w:left="0" w:leftChars="0" w:firstLine="0" w:firstLineChars="0"/>
              <w:rPr>
                <w:rFonts w:hint="default"/>
                <w:highlight w:val="none"/>
                <w:lang w:val="en-US"/>
              </w:rPr>
            </w:pPr>
            <w:r>
              <w:rPr>
                <w:rFonts w:hint="eastAsia" w:ascii="宋体" w:hAnsi="宋体" w:cstheme="minorBidi"/>
                <w:color w:val="000000"/>
                <w:kern w:val="0"/>
                <w:sz w:val="21"/>
                <w:szCs w:val="21"/>
                <w:highlight w:val="none"/>
                <w:lang w:val="en-US" w:eastAsia="zh-CN" w:bidi="ar-SA"/>
              </w:rPr>
              <w:t>3</w:t>
            </w:r>
            <w:r>
              <w:rPr>
                <w:rFonts w:hint="eastAsia" w:ascii="宋体" w:hAnsi="宋体" w:eastAsiaTheme="minorEastAsia" w:cstheme="minorBidi"/>
                <w:color w:val="000000"/>
                <w:kern w:val="0"/>
                <w:sz w:val="21"/>
                <w:szCs w:val="21"/>
                <w:highlight w:val="none"/>
                <w:lang w:val="en-US" w:eastAsia="zh-CN" w:bidi="ar-SA"/>
              </w:rPr>
              <w:t>、评委在评审时应严格对照备注中的《技术标评审要素》进行评定，缺一项内容扣0.5分，直至相应的评审项目总分扣完为止。</w:t>
            </w:r>
          </w:p>
        </w:tc>
      </w:tr>
      <w:tr>
        <w:tblPrEx>
          <w:tblCellMar>
            <w:top w:w="0" w:type="dxa"/>
            <w:left w:w="0" w:type="dxa"/>
            <w:bottom w:w="0" w:type="dxa"/>
            <w:right w:w="0" w:type="dxa"/>
          </w:tblCellMar>
        </w:tblPrEx>
        <w:trPr>
          <w:trHeight w:val="636" w:hRule="atLeast"/>
        </w:trPr>
        <w:tc>
          <w:tcPr>
            <w:tcW w:w="1358"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309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54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bl>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cs="仿宋_GB2312"/>
          <w:sz w:val="24"/>
          <w:szCs w:val="22"/>
          <w:highlight w:val="none"/>
          <w:lang w:val="en-US" w:eastAsia="zh-CN" w:bidi="zh-CN"/>
        </w:rPr>
      </w:pPr>
    </w:p>
    <w:p>
      <w:pPr>
        <w:pStyle w:val="2"/>
        <w:ind w:left="0" w:leftChars="0" w:firstLine="0" w:firstLineChars="0"/>
        <w:rPr>
          <w:rFonts w:hint="eastAsia" w:ascii="宋体" w:hAnsi="宋体" w:eastAsia="宋体" w:cs="仿宋_GB2312"/>
          <w:kern w:val="2"/>
          <w:sz w:val="24"/>
          <w:szCs w:val="22"/>
          <w:highlight w:val="none"/>
          <w:lang w:val="en-US" w:eastAsia="zh-CN" w:bidi="zh-CN"/>
        </w:rPr>
      </w:pPr>
      <w:r>
        <w:rPr>
          <w:rFonts w:hint="eastAsia" w:cs="仿宋_GB2312"/>
          <w:sz w:val="24"/>
          <w:szCs w:val="22"/>
          <w:highlight w:val="none"/>
          <w:lang w:val="en-US" w:eastAsia="zh-CN" w:bidi="zh-CN"/>
        </w:rPr>
        <w:t>备注</w:t>
      </w:r>
      <w:r>
        <w:rPr>
          <w:rFonts w:hint="eastAsia" w:ascii="宋体" w:hAnsi="宋体" w:eastAsia="宋体" w:cs="仿宋_GB2312"/>
          <w:sz w:val="24"/>
          <w:szCs w:val="22"/>
          <w:highlight w:val="none"/>
          <w:lang w:val="en-US" w:eastAsia="zh-CN" w:bidi="zh-CN"/>
        </w:rPr>
        <w:t>：</w:t>
      </w:r>
      <w:r>
        <w:rPr>
          <w:rFonts w:hint="eastAsia" w:ascii="宋体" w:hAnsi="宋体" w:eastAsia="宋体" w:cs="仿宋_GB2312"/>
          <w:kern w:val="2"/>
          <w:sz w:val="24"/>
          <w:szCs w:val="22"/>
          <w:highlight w:val="none"/>
          <w:lang w:val="en-US" w:eastAsia="zh-CN" w:bidi="zh-CN"/>
        </w:rPr>
        <w:t>技术标评审要素包括以下内容</w:t>
      </w:r>
    </w:p>
    <w:p>
      <w:pPr>
        <w:pStyle w:val="29"/>
        <w:spacing w:before="42"/>
        <w:ind w:left="4" w:leftChars="0"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eastAsiaTheme="minorEastAsia" w:cstheme="minorBidi"/>
          <w:b/>
          <w:bCs/>
          <w:color w:val="000000"/>
          <w:kern w:val="0"/>
          <w:sz w:val="24"/>
          <w:szCs w:val="24"/>
          <w:highlight w:val="none"/>
          <w:lang w:val="en-US" w:eastAsia="zh-CN" w:bidi="ar-SA"/>
        </w:rPr>
        <w:t xml:space="preserve">第一部分 </w:t>
      </w:r>
      <w:r>
        <w:rPr>
          <w:rFonts w:hint="eastAsia" w:ascii="宋体" w:hAnsi="宋体" w:eastAsiaTheme="minorEastAsia" w:cstheme="minorBidi"/>
          <w:b/>
          <w:bCs/>
          <w:color w:val="000000"/>
          <w:kern w:val="0"/>
          <w:sz w:val="24"/>
          <w:szCs w:val="24"/>
          <w:highlight w:val="none"/>
          <w:lang w:val="en-US" w:eastAsia="zh-CN" w:bidi="ar-SA"/>
        </w:rPr>
        <w:t>工程概况及特点</w:t>
      </w:r>
    </w:p>
    <w:p>
      <w:pPr>
        <w:pStyle w:val="29"/>
        <w:spacing w:before="42"/>
        <w:ind w:left="4" w:leftChars="0" w:right="0" w:rightChars="0" w:firstLine="480" w:firstLineChars="200"/>
        <w:jc w:val="both"/>
        <w:rPr>
          <w:rFonts w:hint="default" w:ascii="宋体" w:hAnsi="宋体" w:eastAsiaTheme="minorEastAsia" w:cstheme="minorBidi"/>
          <w:color w:val="000000"/>
          <w:kern w:val="0"/>
          <w:sz w:val="24"/>
          <w:szCs w:val="24"/>
          <w:highlight w:val="none"/>
          <w:lang w:val="en-US" w:eastAsia="zh-CN" w:bidi="ar-SA"/>
        </w:rPr>
      </w:pPr>
      <w:r>
        <w:rPr>
          <w:rFonts w:hint="eastAsia" w:eastAsiaTheme="minorEastAsia" w:cstheme="minorBidi"/>
          <w:color w:val="000000"/>
          <w:kern w:val="0"/>
          <w:sz w:val="24"/>
          <w:szCs w:val="24"/>
          <w:highlight w:val="none"/>
          <w:lang w:val="en-US" w:eastAsia="zh-CN" w:bidi="ar-SA"/>
        </w:rPr>
        <w:t xml:space="preserve">1.1 </w:t>
      </w:r>
      <w:r>
        <w:rPr>
          <w:rFonts w:hint="eastAsia" w:ascii="宋体" w:hAnsi="宋体" w:eastAsiaTheme="minorEastAsia" w:cstheme="minorBidi"/>
          <w:color w:val="000000"/>
          <w:kern w:val="0"/>
          <w:sz w:val="24"/>
          <w:szCs w:val="24"/>
          <w:highlight w:val="none"/>
          <w:lang w:val="en-US" w:eastAsia="zh-CN" w:bidi="ar-SA"/>
        </w:rPr>
        <w:t>工程概况</w:t>
      </w:r>
      <w:r>
        <w:rPr>
          <w:rFonts w:hint="eastAsia" w:eastAsiaTheme="minorEastAsia" w:cstheme="minorBidi"/>
          <w:color w:val="000000"/>
          <w:kern w:val="0"/>
          <w:sz w:val="24"/>
          <w:szCs w:val="24"/>
          <w:highlight w:val="none"/>
          <w:lang w:val="en-US" w:eastAsia="zh-CN" w:bidi="ar-SA"/>
        </w:rPr>
        <w:t>要素：</w:t>
      </w:r>
      <w:r>
        <w:rPr>
          <w:rFonts w:hint="eastAsia" w:ascii="宋体" w:hAnsi="宋体" w:eastAsiaTheme="minorEastAsia" w:cstheme="minorBidi"/>
          <w:color w:val="000000"/>
          <w:kern w:val="0"/>
          <w:sz w:val="24"/>
          <w:szCs w:val="24"/>
          <w:highlight w:val="none"/>
          <w:lang w:val="en-US" w:eastAsia="zh-CN" w:bidi="ar-SA"/>
        </w:rPr>
        <w:t>包括工程名称、规模（总造价，地上、地下层数）、基础、主体结构、工期、建设地点等内容。</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eastAsiaTheme="minorEastAsia" w:cstheme="minorBidi"/>
          <w:color w:val="000000"/>
          <w:kern w:val="0"/>
          <w:sz w:val="24"/>
          <w:szCs w:val="24"/>
          <w:highlight w:val="none"/>
          <w:lang w:val="en-US" w:eastAsia="zh-CN" w:bidi="ar-SA"/>
        </w:rPr>
        <w:t xml:space="preserve">1.2 </w:t>
      </w:r>
      <w:r>
        <w:rPr>
          <w:rFonts w:hint="eastAsia" w:ascii="宋体" w:hAnsi="宋体" w:eastAsiaTheme="minorEastAsia" w:cstheme="minorBidi"/>
          <w:color w:val="000000"/>
          <w:kern w:val="0"/>
          <w:sz w:val="24"/>
          <w:szCs w:val="24"/>
          <w:highlight w:val="none"/>
          <w:lang w:val="en-US" w:eastAsia="zh-CN" w:bidi="ar-SA"/>
        </w:rPr>
        <w:t>工程特点</w:t>
      </w:r>
      <w:r>
        <w:rPr>
          <w:rFonts w:hint="eastAsia" w:eastAsiaTheme="minorEastAsia" w:cstheme="minorBidi"/>
          <w:color w:val="000000"/>
          <w:kern w:val="0"/>
          <w:sz w:val="24"/>
          <w:szCs w:val="24"/>
          <w:highlight w:val="none"/>
          <w:lang w:val="en-US" w:eastAsia="zh-CN" w:bidi="ar-SA"/>
        </w:rPr>
        <w:t>要素</w:t>
      </w:r>
      <w:r>
        <w:rPr>
          <w:rFonts w:hint="eastAsia" w:ascii="宋体" w:hAnsi="宋体" w:eastAsiaTheme="minorEastAsia" w:cstheme="minorBidi"/>
          <w:color w:val="000000"/>
          <w:kern w:val="0"/>
          <w:sz w:val="24"/>
          <w:szCs w:val="24"/>
          <w:highlight w:val="none"/>
          <w:lang w:val="en-US" w:eastAsia="zh-CN" w:bidi="ar-SA"/>
        </w:rPr>
        <w:t>：</w:t>
      </w:r>
      <w:r>
        <w:rPr>
          <w:rFonts w:hint="eastAsia" w:eastAsiaTheme="minorEastAsia" w:cstheme="minorBidi"/>
          <w:color w:val="000000"/>
          <w:kern w:val="0"/>
          <w:sz w:val="24"/>
          <w:szCs w:val="24"/>
          <w:highlight w:val="none"/>
          <w:lang w:val="en-US" w:eastAsia="zh-CN" w:bidi="ar-SA"/>
        </w:rPr>
        <w:t>一是</w:t>
      </w:r>
      <w:r>
        <w:rPr>
          <w:rFonts w:hint="eastAsia" w:ascii="宋体" w:hAnsi="宋体" w:eastAsiaTheme="minorEastAsia" w:cstheme="minorBidi"/>
          <w:color w:val="000000"/>
          <w:kern w:val="0"/>
          <w:sz w:val="24"/>
          <w:szCs w:val="24"/>
          <w:highlight w:val="none"/>
          <w:lang w:val="en-US" w:eastAsia="zh-CN" w:bidi="ar-SA"/>
        </w:rPr>
        <w:t>建筑设计</w:t>
      </w:r>
      <w:r>
        <w:rPr>
          <w:rFonts w:hint="eastAsia" w:eastAsiaTheme="minorEastAsia" w:cstheme="minorBidi"/>
          <w:color w:val="000000"/>
          <w:kern w:val="0"/>
          <w:sz w:val="24"/>
          <w:szCs w:val="24"/>
          <w:highlight w:val="none"/>
          <w:lang w:val="en-US" w:eastAsia="zh-CN" w:bidi="ar-SA"/>
        </w:rPr>
        <w:t>，包括</w:t>
      </w:r>
      <w:r>
        <w:rPr>
          <w:rFonts w:hint="eastAsia" w:ascii="宋体" w:hAnsi="宋体" w:eastAsiaTheme="minorEastAsia" w:cstheme="minorBidi"/>
          <w:color w:val="000000"/>
          <w:kern w:val="0"/>
          <w:sz w:val="24"/>
          <w:szCs w:val="24"/>
          <w:highlight w:val="none"/>
          <w:lang w:val="en-US" w:eastAsia="zh-CN" w:bidi="ar-SA"/>
        </w:rPr>
        <w:t>新型材料、特殊功能（特殊防火、防水、防辐射、隔音、无菌要求，四代住宅，地缘热等）</w:t>
      </w:r>
      <w:r>
        <w:rPr>
          <w:rFonts w:hint="eastAsia" w:eastAsiaTheme="minorEastAsia" w:cstheme="minorBidi"/>
          <w:color w:val="000000"/>
          <w:kern w:val="0"/>
          <w:sz w:val="24"/>
          <w:szCs w:val="24"/>
          <w:highlight w:val="none"/>
          <w:lang w:val="en-US" w:eastAsia="zh-CN" w:bidi="ar-SA"/>
        </w:rPr>
        <w:t>；二是</w:t>
      </w:r>
      <w:r>
        <w:rPr>
          <w:rFonts w:hint="eastAsia" w:ascii="宋体" w:hAnsi="宋体" w:eastAsiaTheme="minorEastAsia" w:cstheme="minorBidi"/>
          <w:color w:val="000000"/>
          <w:kern w:val="0"/>
          <w:sz w:val="24"/>
          <w:szCs w:val="24"/>
          <w:highlight w:val="none"/>
          <w:lang w:val="en-US" w:eastAsia="zh-CN" w:bidi="ar-SA"/>
        </w:rPr>
        <w:t>结构设计</w:t>
      </w:r>
      <w:r>
        <w:rPr>
          <w:rFonts w:hint="eastAsia" w:eastAsiaTheme="minorEastAsia" w:cstheme="minorBidi"/>
          <w:color w:val="000000"/>
          <w:kern w:val="0"/>
          <w:sz w:val="24"/>
          <w:szCs w:val="24"/>
          <w:highlight w:val="none"/>
          <w:lang w:val="en-US" w:eastAsia="zh-CN" w:bidi="ar-SA"/>
        </w:rPr>
        <w:t>，包括钢筋砼</w:t>
      </w:r>
      <w:r>
        <w:rPr>
          <w:rFonts w:hint="eastAsia" w:ascii="宋体" w:hAnsi="宋体" w:eastAsiaTheme="minorEastAsia" w:cstheme="minorBidi"/>
          <w:color w:val="000000"/>
          <w:kern w:val="0"/>
          <w:sz w:val="24"/>
          <w:szCs w:val="24"/>
          <w:highlight w:val="none"/>
          <w:lang w:val="en-US" w:eastAsia="zh-CN" w:bidi="ar-SA"/>
        </w:rPr>
        <w:t>、大跨度、高达空间、高强砼、特殊钢材、膜壳结构、复杂异形结构、复杂大曲面结构、预应力结构、再生砼等新型结构材料。</w:t>
      </w:r>
      <w:r>
        <w:rPr>
          <w:rFonts w:hint="eastAsia" w:eastAsiaTheme="minorEastAsia" w:cstheme="minorBidi"/>
          <w:color w:val="000000"/>
          <w:kern w:val="0"/>
          <w:sz w:val="24"/>
          <w:szCs w:val="24"/>
          <w:highlight w:val="none"/>
          <w:lang w:val="en-US" w:eastAsia="zh-CN" w:bidi="ar-SA"/>
        </w:rPr>
        <w:t>三是</w:t>
      </w:r>
      <w:r>
        <w:rPr>
          <w:rFonts w:hint="eastAsia" w:ascii="宋体" w:hAnsi="宋体" w:eastAsiaTheme="minorEastAsia" w:cstheme="minorBidi"/>
          <w:color w:val="000000"/>
          <w:kern w:val="0"/>
          <w:sz w:val="24"/>
          <w:szCs w:val="24"/>
          <w:highlight w:val="none"/>
          <w:lang w:val="en-US" w:eastAsia="zh-CN" w:bidi="ar-SA"/>
        </w:rPr>
        <w:t>水电设备</w:t>
      </w:r>
      <w:r>
        <w:rPr>
          <w:rFonts w:hint="eastAsia" w:eastAsiaTheme="minorEastAsia" w:cstheme="minorBidi"/>
          <w:color w:val="000000"/>
          <w:kern w:val="0"/>
          <w:sz w:val="24"/>
          <w:szCs w:val="24"/>
          <w:highlight w:val="none"/>
          <w:lang w:val="en-US" w:eastAsia="zh-CN" w:bidi="ar-SA"/>
        </w:rPr>
        <w:t>，包括</w:t>
      </w:r>
      <w:r>
        <w:rPr>
          <w:rFonts w:hint="eastAsia" w:ascii="宋体" w:hAnsi="宋体" w:eastAsiaTheme="minorEastAsia" w:cstheme="minorBidi"/>
          <w:color w:val="000000"/>
          <w:kern w:val="0"/>
          <w:sz w:val="24"/>
          <w:szCs w:val="24"/>
          <w:highlight w:val="none"/>
          <w:lang w:val="en-US" w:eastAsia="zh-CN" w:bidi="ar-SA"/>
        </w:rPr>
        <w:t>非常规设备、运行环境特许要求（粉尘、静电、防爆等）。</w:t>
      </w:r>
      <w:r>
        <w:rPr>
          <w:rFonts w:hint="eastAsia" w:eastAsiaTheme="minorEastAsia" w:cstheme="minorBidi"/>
          <w:color w:val="000000"/>
          <w:kern w:val="0"/>
          <w:sz w:val="24"/>
          <w:szCs w:val="24"/>
          <w:highlight w:val="none"/>
          <w:lang w:val="en-US" w:eastAsia="zh-CN" w:bidi="ar-SA"/>
        </w:rPr>
        <w:t>四是</w:t>
      </w:r>
      <w:r>
        <w:rPr>
          <w:rFonts w:hint="eastAsia" w:ascii="宋体" w:hAnsi="宋体" w:eastAsiaTheme="minorEastAsia" w:cstheme="minorBidi"/>
          <w:color w:val="000000"/>
          <w:kern w:val="0"/>
          <w:sz w:val="24"/>
          <w:szCs w:val="24"/>
          <w:highlight w:val="none"/>
          <w:lang w:val="en-US" w:eastAsia="zh-CN" w:bidi="ar-SA"/>
        </w:rPr>
        <w:t>特殊地理环境</w:t>
      </w:r>
      <w:r>
        <w:rPr>
          <w:rFonts w:hint="eastAsia" w:eastAsiaTheme="minorEastAsia" w:cstheme="minorBidi"/>
          <w:color w:val="000000"/>
          <w:kern w:val="0"/>
          <w:sz w:val="24"/>
          <w:szCs w:val="24"/>
          <w:highlight w:val="none"/>
          <w:lang w:val="en-US" w:eastAsia="zh-CN" w:bidi="ar-SA"/>
        </w:rPr>
        <w:t>因素，</w:t>
      </w:r>
      <w:r>
        <w:rPr>
          <w:rFonts w:hint="eastAsia" w:ascii="宋体" w:hAnsi="宋体" w:eastAsiaTheme="minorEastAsia" w:cstheme="minorBidi"/>
          <w:color w:val="000000"/>
          <w:kern w:val="0"/>
          <w:sz w:val="24"/>
          <w:szCs w:val="24"/>
          <w:highlight w:val="none"/>
          <w:lang w:val="en-US" w:eastAsia="zh-CN" w:bidi="ar-SA"/>
        </w:rPr>
        <w:t>毗邻地铁等重大地下构筑物、文物景点景区内施工，特许气候地理环境（不同一般冬歇期、严寒、沙漠地区、高海拔地区等）。</w:t>
      </w:r>
    </w:p>
    <w:p>
      <w:pPr>
        <w:pStyle w:val="29"/>
        <w:spacing w:before="42"/>
        <w:ind w:left="4" w:leftChars="0"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eastAsiaTheme="minorEastAsia" w:cstheme="minorBidi"/>
          <w:b/>
          <w:bCs/>
          <w:color w:val="000000"/>
          <w:kern w:val="0"/>
          <w:sz w:val="24"/>
          <w:szCs w:val="24"/>
          <w:highlight w:val="none"/>
          <w:lang w:val="en-US" w:eastAsia="zh-CN" w:bidi="ar-SA"/>
        </w:rPr>
        <w:t xml:space="preserve">第二部分 </w:t>
      </w:r>
      <w:r>
        <w:rPr>
          <w:rFonts w:hint="eastAsia" w:ascii="宋体" w:hAnsi="宋体" w:eastAsiaTheme="minorEastAsia" w:cstheme="minorBidi"/>
          <w:b/>
          <w:bCs/>
          <w:color w:val="000000"/>
          <w:kern w:val="0"/>
          <w:sz w:val="24"/>
          <w:szCs w:val="24"/>
          <w:highlight w:val="none"/>
          <w:lang w:val="en-US" w:eastAsia="zh-CN" w:bidi="ar-SA"/>
        </w:rPr>
        <w:t>施工准备计划</w:t>
      </w:r>
    </w:p>
    <w:p>
      <w:pPr>
        <w:pStyle w:val="29"/>
        <w:spacing w:before="42"/>
        <w:ind w:left="4" w:leftChars="0" w:right="0" w:rightChars="0" w:firstLine="480" w:firstLineChars="200"/>
        <w:jc w:val="both"/>
        <w:rPr>
          <w:rFonts w:hint="eastAsia"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2.1 施工技术准备要素</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技术岗位人员配备齐全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工程涉及技术方案措施齐全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工程特点所涉及施工技术齐全、适用可行</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技术工具、信息化</w:t>
      </w:r>
      <w:r>
        <w:rPr>
          <w:rFonts w:hint="eastAsia" w:eastAsiaTheme="minorEastAsia" w:cstheme="minorBidi"/>
          <w:color w:val="000000"/>
          <w:kern w:val="0"/>
          <w:sz w:val="24"/>
          <w:szCs w:val="24"/>
          <w:highlight w:val="none"/>
          <w:lang w:val="en-US" w:eastAsia="zh-CN" w:bidi="ar-SA"/>
        </w:rPr>
        <w:t>应用</w:t>
      </w:r>
      <w:r>
        <w:rPr>
          <w:rFonts w:hint="eastAsia" w:ascii="宋体" w:hAnsi="宋体" w:eastAsiaTheme="minorEastAsia" w:cstheme="minorBidi"/>
          <w:color w:val="000000"/>
          <w:kern w:val="0"/>
          <w:sz w:val="24"/>
          <w:szCs w:val="24"/>
          <w:highlight w:val="none"/>
          <w:lang w:val="en-US" w:eastAsia="zh-CN" w:bidi="ar-SA"/>
        </w:rPr>
        <w:t>（测量仪器、工作软、硬件</w:t>
      </w:r>
      <w:r>
        <w:rPr>
          <w:rFonts w:hint="eastAsia" w:eastAsiaTheme="minorEastAsia" w:cstheme="minorBidi"/>
          <w:color w:val="000000"/>
          <w:kern w:val="0"/>
          <w:sz w:val="24"/>
          <w:szCs w:val="24"/>
          <w:highlight w:val="none"/>
          <w:lang w:val="en-US" w:eastAsia="zh-CN" w:bidi="ar-SA"/>
        </w:rPr>
        <w:t>应用</w:t>
      </w:r>
      <w:r>
        <w:rPr>
          <w:rFonts w:hint="eastAsia" w:ascii="宋体" w:hAnsi="宋体" w:eastAsiaTheme="minorEastAsia" w:cstheme="minorBidi"/>
          <w:color w:val="000000"/>
          <w:kern w:val="0"/>
          <w:sz w:val="24"/>
          <w:szCs w:val="24"/>
          <w:highlight w:val="none"/>
          <w:lang w:val="en-US" w:eastAsia="zh-CN" w:bidi="ar-SA"/>
        </w:rPr>
        <w:t>等）</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针对本工程的“四新”技术应用</w:t>
      </w:r>
      <w:r>
        <w:rPr>
          <w:rFonts w:hint="eastAsia" w:eastAsiaTheme="minorEastAsia" w:cstheme="minorBidi"/>
          <w:color w:val="000000"/>
          <w:kern w:val="0"/>
          <w:sz w:val="24"/>
          <w:szCs w:val="24"/>
          <w:highlight w:val="none"/>
          <w:lang w:val="en-US" w:eastAsia="zh-CN" w:bidi="ar-SA"/>
        </w:rPr>
        <w:t>措施符合项目需要。</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2.2 人力资源</w:t>
      </w:r>
      <w:r>
        <w:rPr>
          <w:rFonts w:hint="eastAsia" w:eastAsiaTheme="minorEastAsia" w:cstheme="minorBidi"/>
          <w:color w:val="000000"/>
          <w:kern w:val="0"/>
          <w:sz w:val="24"/>
          <w:szCs w:val="24"/>
          <w:highlight w:val="none"/>
          <w:lang w:val="en-US" w:eastAsia="zh-CN" w:bidi="ar-SA"/>
        </w:rPr>
        <w:t>要素：</w:t>
      </w:r>
      <w:r>
        <w:rPr>
          <w:rFonts w:hint="eastAsia" w:ascii="宋体" w:hAnsi="宋体" w:eastAsiaTheme="minorEastAsia" w:cstheme="minorBidi"/>
          <w:color w:val="000000"/>
          <w:kern w:val="0"/>
          <w:sz w:val="24"/>
          <w:szCs w:val="24"/>
          <w:highlight w:val="none"/>
          <w:lang w:val="en-US" w:eastAsia="zh-CN" w:bidi="ar-SA"/>
        </w:rPr>
        <w:t>项目组织机构齐全。组织机构人员</w:t>
      </w:r>
      <w:r>
        <w:rPr>
          <w:rFonts w:hint="eastAsia" w:eastAsiaTheme="minorEastAsia" w:cstheme="minorBidi"/>
          <w:color w:val="000000"/>
          <w:kern w:val="0"/>
          <w:sz w:val="24"/>
          <w:szCs w:val="24"/>
          <w:highlight w:val="none"/>
          <w:lang w:val="en-US" w:eastAsia="zh-CN" w:bidi="ar-SA"/>
        </w:rPr>
        <w:t>资格</w:t>
      </w:r>
      <w:r>
        <w:rPr>
          <w:rFonts w:hint="eastAsia" w:ascii="宋体" w:hAnsi="宋体" w:eastAsiaTheme="minorEastAsia" w:cstheme="minorBidi"/>
          <w:color w:val="000000"/>
          <w:kern w:val="0"/>
          <w:sz w:val="24"/>
          <w:szCs w:val="24"/>
          <w:highlight w:val="none"/>
          <w:lang w:val="en-US" w:eastAsia="zh-CN" w:bidi="ar-SA"/>
        </w:rPr>
        <w:t>符合要求。</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eastAsiaTheme="minorEastAsia" w:cstheme="minorBidi"/>
          <w:color w:val="000000"/>
          <w:kern w:val="0"/>
          <w:sz w:val="24"/>
          <w:szCs w:val="24"/>
          <w:highlight w:val="none"/>
          <w:lang w:val="en-US" w:eastAsia="zh-CN" w:bidi="ar-SA"/>
        </w:rPr>
        <w:t xml:space="preserve">2.3 </w:t>
      </w:r>
      <w:r>
        <w:rPr>
          <w:rFonts w:hint="eastAsia" w:ascii="宋体" w:hAnsi="宋体" w:eastAsiaTheme="minorEastAsia" w:cstheme="minorBidi"/>
          <w:color w:val="000000"/>
          <w:kern w:val="0"/>
          <w:sz w:val="24"/>
          <w:szCs w:val="24"/>
          <w:highlight w:val="none"/>
          <w:lang w:val="en-US" w:eastAsia="zh-CN" w:bidi="ar-SA"/>
        </w:rPr>
        <w:t>物资、机械要素：分别列表统计所需物资、机械清单；物资品种规格品牌（如有）数量符合设计要求；机械种类、规格、数量基本满足工程所需；</w:t>
      </w:r>
      <w:r>
        <w:rPr>
          <w:rFonts w:hint="eastAsia" w:eastAsiaTheme="minorEastAsia" w:cstheme="minorBidi"/>
          <w:color w:val="000000"/>
          <w:kern w:val="0"/>
          <w:sz w:val="24"/>
          <w:szCs w:val="24"/>
          <w:highlight w:val="none"/>
          <w:lang w:val="en-US" w:eastAsia="zh-CN" w:bidi="ar-SA"/>
        </w:rPr>
        <w:t>有</w:t>
      </w:r>
      <w:r>
        <w:rPr>
          <w:rFonts w:hint="eastAsia" w:ascii="宋体" w:hAnsi="宋体" w:eastAsiaTheme="minorEastAsia" w:cstheme="minorBidi"/>
          <w:color w:val="000000"/>
          <w:kern w:val="0"/>
          <w:sz w:val="24"/>
          <w:szCs w:val="24"/>
          <w:highlight w:val="none"/>
          <w:lang w:val="en-US" w:eastAsia="zh-CN" w:bidi="ar-SA"/>
        </w:rPr>
        <w:t>满足工程特点所需特殊（种）机械。</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2.4 劳动力准备计划要素：作业班组工种齐全；劳动力数量满足</w:t>
      </w:r>
      <w:r>
        <w:rPr>
          <w:rFonts w:hint="eastAsia" w:eastAsiaTheme="minorEastAsia" w:cstheme="minorBidi"/>
          <w:color w:val="000000"/>
          <w:kern w:val="0"/>
          <w:sz w:val="24"/>
          <w:szCs w:val="24"/>
          <w:highlight w:val="none"/>
          <w:lang w:val="en-US" w:eastAsia="zh-CN" w:bidi="ar-SA"/>
        </w:rPr>
        <w:t>工程</w:t>
      </w:r>
      <w:r>
        <w:rPr>
          <w:rFonts w:hint="eastAsia" w:ascii="宋体" w:hAnsi="宋体" w:eastAsiaTheme="minorEastAsia" w:cstheme="minorBidi"/>
          <w:color w:val="000000"/>
          <w:kern w:val="0"/>
          <w:sz w:val="24"/>
          <w:szCs w:val="24"/>
          <w:highlight w:val="none"/>
          <w:lang w:val="en-US" w:eastAsia="zh-CN" w:bidi="ar-SA"/>
        </w:rPr>
        <w:t>要求；</w:t>
      </w:r>
      <w:r>
        <w:rPr>
          <w:rFonts w:hint="eastAsia" w:eastAsiaTheme="minorEastAsia" w:cstheme="minorBidi"/>
          <w:color w:val="000000"/>
          <w:kern w:val="0"/>
          <w:sz w:val="24"/>
          <w:szCs w:val="24"/>
          <w:highlight w:val="none"/>
          <w:lang w:val="en-US" w:eastAsia="zh-CN" w:bidi="ar-SA"/>
        </w:rPr>
        <w:t>特种作业</w:t>
      </w:r>
      <w:r>
        <w:rPr>
          <w:rFonts w:hint="eastAsia" w:ascii="宋体" w:hAnsi="宋体" w:eastAsiaTheme="minorEastAsia" w:cstheme="minorBidi"/>
          <w:color w:val="000000"/>
          <w:kern w:val="0"/>
          <w:sz w:val="24"/>
          <w:szCs w:val="24"/>
          <w:highlight w:val="none"/>
          <w:lang w:val="en-US" w:eastAsia="zh-CN" w:bidi="ar-SA"/>
        </w:rPr>
        <w:t>人员资格及数量满足工程需要；建立农民工工资专项账户。</w:t>
      </w:r>
    </w:p>
    <w:p>
      <w:pPr>
        <w:pStyle w:val="29"/>
        <w:spacing w:before="42"/>
        <w:ind w:left="4" w:leftChars="0" w:right="0" w:rightChars="0" w:firstLine="482" w:firstLineChars="200"/>
        <w:jc w:val="both"/>
        <w:rPr>
          <w:rFonts w:hint="eastAsia" w:eastAsiaTheme="minorEastAsia" w:cstheme="minorBidi"/>
          <w:b/>
          <w:bCs/>
          <w:color w:val="000000"/>
          <w:kern w:val="0"/>
          <w:sz w:val="24"/>
          <w:szCs w:val="24"/>
          <w:highlight w:val="none"/>
          <w:lang w:val="en-US" w:eastAsia="zh-CN" w:bidi="ar-SA"/>
        </w:rPr>
      </w:pPr>
      <w:r>
        <w:rPr>
          <w:rFonts w:hint="eastAsia" w:eastAsiaTheme="minorEastAsia" w:cstheme="minorBidi"/>
          <w:b/>
          <w:bCs/>
          <w:color w:val="000000"/>
          <w:kern w:val="0"/>
          <w:sz w:val="24"/>
          <w:szCs w:val="24"/>
          <w:highlight w:val="none"/>
          <w:lang w:val="en-US" w:eastAsia="zh-CN" w:bidi="ar-SA"/>
        </w:rPr>
        <w:t xml:space="preserve">第三部分 </w:t>
      </w:r>
      <w:r>
        <w:rPr>
          <w:rFonts w:hint="eastAsia" w:ascii="宋体" w:hAnsi="宋体" w:eastAsiaTheme="minorEastAsia" w:cstheme="minorBidi"/>
          <w:b/>
          <w:bCs/>
          <w:color w:val="000000"/>
          <w:kern w:val="0"/>
          <w:sz w:val="24"/>
          <w:szCs w:val="24"/>
          <w:highlight w:val="none"/>
          <w:lang w:val="en-US" w:eastAsia="zh-CN" w:bidi="ar-SA"/>
        </w:rPr>
        <w:t>施工</w:t>
      </w:r>
      <w:r>
        <w:rPr>
          <w:rFonts w:hint="eastAsia" w:eastAsiaTheme="minorEastAsia" w:cstheme="minorBidi"/>
          <w:b/>
          <w:bCs/>
          <w:color w:val="000000"/>
          <w:kern w:val="0"/>
          <w:sz w:val="24"/>
          <w:szCs w:val="24"/>
          <w:highlight w:val="none"/>
          <w:lang w:val="en-US" w:eastAsia="zh-CN" w:bidi="ar-SA"/>
        </w:rPr>
        <w:t>方案</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3.1 基本内容要素：施工方案编制齐全；施工方案编制符合要求；方案符合工程实际，应结合工程特点；引用强制性技术标准不得出现错误，或明显违反国家和自治区有关规定。</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3.2 工期保证要素：总进度计划、平面布置等施工部署合理；分项工程劳动力数量有保证；地库、安装、装饰、外装、室外工程结合工程实际合理穿插；塔吊、电梯等按施工合理</w:t>
      </w:r>
      <w:r>
        <w:rPr>
          <w:rFonts w:hint="eastAsia" w:eastAsiaTheme="minorEastAsia" w:cstheme="minorBidi"/>
          <w:color w:val="000000"/>
          <w:kern w:val="0"/>
          <w:sz w:val="24"/>
          <w:szCs w:val="24"/>
          <w:highlight w:val="none"/>
          <w:lang w:val="en-US" w:eastAsia="zh-CN" w:bidi="ar-SA"/>
        </w:rPr>
        <w:t>安排</w:t>
      </w:r>
      <w:r>
        <w:rPr>
          <w:rFonts w:hint="eastAsia" w:ascii="宋体" w:hAnsi="宋体" w:eastAsiaTheme="minorEastAsia" w:cstheme="minorBidi"/>
          <w:color w:val="000000"/>
          <w:kern w:val="0"/>
          <w:sz w:val="24"/>
          <w:szCs w:val="24"/>
          <w:highlight w:val="none"/>
          <w:lang w:val="en-US" w:eastAsia="zh-CN" w:bidi="ar-SA"/>
        </w:rPr>
        <w:t>时间；穿插作业现场布置的调整相呼应。</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3.3 安全保证要素：安全管理目标明确；企业及项目部安全管理体系完善；安全保证措施、方案齐全；安全费用投入有保证；安全管理特点、亮点</w:t>
      </w:r>
      <w:r>
        <w:rPr>
          <w:rFonts w:hint="eastAsia" w:eastAsiaTheme="minorEastAsia" w:cstheme="minorBidi"/>
          <w:color w:val="000000"/>
          <w:kern w:val="0"/>
          <w:sz w:val="24"/>
          <w:szCs w:val="24"/>
          <w:highlight w:val="none"/>
          <w:lang w:val="en-US" w:eastAsia="zh-CN" w:bidi="ar-SA"/>
        </w:rPr>
        <w:t>清晰明确；</w:t>
      </w:r>
      <w:r>
        <w:rPr>
          <w:rFonts w:hint="eastAsia" w:ascii="宋体" w:hAnsi="宋体" w:eastAsiaTheme="minorEastAsia" w:cstheme="minorBidi"/>
          <w:color w:val="000000"/>
          <w:kern w:val="0"/>
          <w:sz w:val="24"/>
          <w:szCs w:val="24"/>
          <w:highlight w:val="none"/>
          <w:lang w:val="en-US" w:eastAsia="zh-CN" w:bidi="ar-SA"/>
        </w:rPr>
        <w:t>项目的重点、难点分析透彻，解决方案切实可行</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市政基础设施项目，交通组织规划合理、可行，交通组织措施得力。</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3.4 质量保证要素：质量管理目标明确；企业及项目部质量管理体系完善；质量保证措施、方案齐全；质量通病防治措施，底线管理符合项目实际；创优创奖部署、策划</w:t>
      </w:r>
      <w:r>
        <w:rPr>
          <w:rFonts w:hint="eastAsia" w:eastAsiaTheme="minorEastAsia" w:cstheme="minorBidi"/>
          <w:color w:val="000000"/>
          <w:kern w:val="0"/>
          <w:sz w:val="24"/>
          <w:szCs w:val="24"/>
          <w:highlight w:val="none"/>
          <w:lang w:val="en-US" w:eastAsia="zh-CN" w:bidi="ar-SA"/>
        </w:rPr>
        <w:t>符合工程实际；</w:t>
      </w:r>
      <w:r>
        <w:rPr>
          <w:rFonts w:hint="eastAsia" w:ascii="宋体" w:hAnsi="宋体" w:eastAsiaTheme="minorEastAsia" w:cstheme="minorBidi"/>
          <w:color w:val="000000"/>
          <w:kern w:val="0"/>
          <w:sz w:val="24"/>
          <w:szCs w:val="24"/>
          <w:highlight w:val="none"/>
          <w:lang w:val="en-US" w:eastAsia="zh-CN" w:bidi="ar-SA"/>
        </w:rPr>
        <w:t>质量创优、亮点做法清晰明确</w:t>
      </w:r>
      <w:r>
        <w:rPr>
          <w:rFonts w:hint="eastAsia" w:eastAsiaTheme="minorEastAsia" w:cstheme="minorBidi"/>
          <w:color w:val="000000"/>
          <w:kern w:val="0"/>
          <w:sz w:val="24"/>
          <w:szCs w:val="24"/>
          <w:highlight w:val="none"/>
          <w:lang w:val="en-US" w:eastAsia="zh-CN" w:bidi="ar-SA"/>
        </w:rPr>
        <w:t>，符合工程实际</w:t>
      </w:r>
      <w:r>
        <w:rPr>
          <w:rFonts w:hint="eastAsia" w:ascii="宋体" w:hAnsi="宋体" w:eastAsiaTheme="minorEastAsia" w:cstheme="minorBidi"/>
          <w:color w:val="000000"/>
          <w:kern w:val="0"/>
          <w:sz w:val="24"/>
          <w:szCs w:val="24"/>
          <w:highlight w:val="none"/>
          <w:lang w:val="en-US" w:eastAsia="zh-CN" w:bidi="ar-SA"/>
        </w:rPr>
        <w:t>。</w:t>
      </w:r>
    </w:p>
    <w:p>
      <w:pPr>
        <w:pStyle w:val="29"/>
        <w:spacing w:before="42"/>
        <w:ind w:right="0" w:rightChars="0" w:firstLine="482" w:firstLineChars="200"/>
        <w:jc w:val="both"/>
        <w:rPr>
          <w:rFonts w:hint="eastAsia" w:eastAsiaTheme="minorEastAsia" w:cstheme="minorBidi"/>
          <w:b/>
          <w:bCs/>
          <w:color w:val="000000"/>
          <w:kern w:val="0"/>
          <w:sz w:val="24"/>
          <w:szCs w:val="24"/>
          <w:highlight w:val="none"/>
          <w:lang w:val="en-US" w:eastAsia="zh-CN" w:bidi="ar-SA"/>
        </w:rPr>
      </w:pPr>
      <w:r>
        <w:rPr>
          <w:rFonts w:hint="eastAsia" w:eastAsiaTheme="minorEastAsia" w:cstheme="minorBidi"/>
          <w:b/>
          <w:bCs/>
          <w:color w:val="000000"/>
          <w:kern w:val="0"/>
          <w:sz w:val="24"/>
          <w:szCs w:val="24"/>
          <w:highlight w:val="none"/>
          <w:lang w:val="en-US" w:eastAsia="zh-CN" w:bidi="ar-SA"/>
        </w:rPr>
        <w:t>第四部分 施工进度计划</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4.1 基本内容要素：总进度计划编制符合要求；开竣工日期明确，符合招标文件要求；关键线路清晰，合理；分段、分区合理，工序持续时间、流水节拍合理。</w:t>
      </w:r>
    </w:p>
    <w:p>
      <w:pPr>
        <w:pStyle w:val="29"/>
        <w:spacing w:before="42"/>
        <w:ind w:left="4" w:leftChars="0"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4.2 结合工程实际要素：地库、安装、装饰、外装、室外工程根据工程实际工序穿插合理；主体结构、砌体、安装与装修衔接时间等合理，无违背科学规律的现象；进度计划中分包专业工期明确；与施组部署、方案的时间节点一致。</w:t>
      </w:r>
    </w:p>
    <w:p>
      <w:pPr>
        <w:pStyle w:val="29"/>
        <w:spacing w:before="42"/>
        <w:ind w:right="0" w:rightChars="0" w:firstLine="482" w:firstLineChars="200"/>
        <w:jc w:val="both"/>
        <w:rPr>
          <w:rFonts w:hint="default" w:eastAsiaTheme="minorEastAsia" w:cstheme="minorBidi"/>
          <w:b/>
          <w:bCs/>
          <w:color w:val="000000"/>
          <w:kern w:val="0"/>
          <w:sz w:val="24"/>
          <w:szCs w:val="24"/>
          <w:highlight w:val="none"/>
          <w:lang w:val="en-US" w:eastAsia="zh-CN" w:bidi="ar-SA"/>
        </w:rPr>
      </w:pPr>
      <w:r>
        <w:rPr>
          <w:rFonts w:hint="eastAsia" w:eastAsiaTheme="minorEastAsia" w:cstheme="minorBidi"/>
          <w:b/>
          <w:bCs/>
          <w:color w:val="000000"/>
          <w:kern w:val="0"/>
          <w:sz w:val="24"/>
          <w:szCs w:val="24"/>
          <w:highlight w:val="none"/>
          <w:lang w:val="en-US" w:eastAsia="zh-CN" w:bidi="ar-SA"/>
        </w:rPr>
        <w:t>第五部分 施工平面布置</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eastAsiaTheme="minorEastAsia" w:cstheme="minorBidi"/>
          <w:b w:val="0"/>
          <w:bCs w:val="0"/>
          <w:color w:val="000000"/>
          <w:kern w:val="0"/>
          <w:sz w:val="24"/>
          <w:szCs w:val="24"/>
          <w:highlight w:val="none"/>
          <w:lang w:val="en-US" w:eastAsia="zh-CN" w:bidi="ar-SA"/>
        </w:rPr>
        <w:t>5.1 基本内容要素：根据工程</w:t>
      </w:r>
      <w:r>
        <w:rPr>
          <w:rFonts w:hint="eastAsia" w:ascii="宋体" w:hAnsi="宋体" w:eastAsiaTheme="minorEastAsia" w:cstheme="minorBidi"/>
          <w:b w:val="0"/>
          <w:bCs w:val="0"/>
          <w:color w:val="000000"/>
          <w:kern w:val="0"/>
          <w:sz w:val="24"/>
          <w:szCs w:val="24"/>
          <w:highlight w:val="none"/>
          <w:lang w:val="en-US" w:eastAsia="zh-CN" w:bidi="ar-SA"/>
        </w:rPr>
        <w:t>实</w:t>
      </w:r>
      <w:r>
        <w:rPr>
          <w:rFonts w:hint="eastAsia" w:ascii="宋体" w:hAnsi="宋体" w:eastAsiaTheme="minorEastAsia" w:cstheme="minorBidi"/>
          <w:color w:val="000000"/>
          <w:kern w:val="0"/>
          <w:sz w:val="24"/>
          <w:szCs w:val="24"/>
          <w:highlight w:val="none"/>
          <w:lang w:val="en-US" w:eastAsia="zh-CN" w:bidi="ar-SA"/>
        </w:rPr>
        <w:t>际，平面图布置齐全；施工区、生活区、办公区划分明确合理，满足需求，场地利用合理；塔吊根据覆盖范围及施工需求布置合理，施工电梯布置合理；围挡形式、高度符合要求；平面图布置有图例、指北针、图纸会签栏；影响施工的毗邻高压、地下、地上管线、构筑物标示明确；机械、料场、加工厂等布置协调合理；水电驳接点，大门位置合理；图纸版面布局合理，文字、线型、分色清晰，美观。</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5.2 特点、亮点要素：说明中机械型号、数量、水电线路材质，敷设方式、围墙形式等说明清晰易懂；场内施工道路规划合理，临时水电走向合理，标示正确。影响施工的毗邻高压、地下、地上管线、构筑物所采取的隔离、保护措施。对分包单位办公、生活及堆料、加工的规划。永临结合、对树木、绿化等需要保留物件的保护。临建满足生活办公需求。花园式施工现场布局合理。</w:t>
      </w:r>
    </w:p>
    <w:p>
      <w:pPr>
        <w:pStyle w:val="29"/>
        <w:spacing w:before="42"/>
        <w:ind w:right="0" w:rightChars="0" w:firstLine="482" w:firstLineChars="200"/>
        <w:jc w:val="both"/>
        <w:rPr>
          <w:rFonts w:hint="default" w:eastAsiaTheme="minorEastAsia" w:cstheme="minorBidi"/>
          <w:b/>
          <w:bCs/>
          <w:color w:val="000000"/>
          <w:kern w:val="0"/>
          <w:sz w:val="24"/>
          <w:szCs w:val="24"/>
          <w:highlight w:val="none"/>
          <w:lang w:val="en-US" w:eastAsia="zh-CN" w:bidi="ar-SA"/>
        </w:rPr>
      </w:pPr>
      <w:r>
        <w:rPr>
          <w:rFonts w:hint="eastAsia" w:eastAsiaTheme="minorEastAsia" w:cstheme="minorBidi"/>
          <w:b/>
          <w:bCs/>
          <w:color w:val="000000"/>
          <w:kern w:val="0"/>
          <w:sz w:val="24"/>
          <w:szCs w:val="24"/>
          <w:highlight w:val="none"/>
          <w:lang w:val="en-US" w:eastAsia="zh-CN" w:bidi="ar-SA"/>
        </w:rPr>
        <w:t>第六部分 劳动力需用量计划</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6.1 基本内容要素：工程所需劳动力工种齐全；对应时间段数量与施工部署、方案呼应一致；劳动力满足施工进度要求；满足工程所需特殊工种。</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6.2 重点、难点要素：工种数人员量与工作量、进度计划匹配；具备工程特殊工艺的工种、工人数量；工人经过专业培训合格，取得相应上岗证书；农民工作业、生活管理措施制度齐全；农民工维权、夜校管理有实效。</w:t>
      </w:r>
    </w:p>
    <w:p>
      <w:pPr>
        <w:pStyle w:val="29"/>
        <w:spacing w:before="42"/>
        <w:ind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ascii="宋体" w:hAnsi="宋体" w:eastAsiaTheme="minorEastAsia" w:cstheme="minorBidi"/>
          <w:b/>
          <w:bCs/>
          <w:color w:val="000000"/>
          <w:kern w:val="0"/>
          <w:sz w:val="24"/>
          <w:szCs w:val="24"/>
          <w:highlight w:val="none"/>
          <w:lang w:val="en-US" w:eastAsia="zh-CN" w:bidi="ar-SA"/>
        </w:rPr>
        <w:t>第七部分 材料需用量计划</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7.1 基本内容要素：工程所需物资资源品种、规格齐全。对应时间段数量与施工部署、方案呼应一致；现场材料存放、码放合理，有效减小二次运距，提高工效；进场材料验收、计量措施有效。</w:t>
      </w:r>
    </w:p>
    <w:p>
      <w:pPr>
        <w:pStyle w:val="29"/>
        <w:spacing w:before="42"/>
        <w:ind w:right="0" w:rightChars="0" w:firstLine="480" w:firstLineChars="200"/>
        <w:jc w:val="both"/>
        <w:rPr>
          <w:rFonts w:hint="eastAsia"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7.2 其他要素：满足工程所需特殊、特种材料；现场材料管理制度齐全；成品、半成品、设备存放保护措施得当</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大宗材料、区域外购置材料有计划，考虑生产周期、运输周期</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响应招标文件品牌要求</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对甲供、分包材料的管理</w:t>
      </w:r>
      <w:r>
        <w:rPr>
          <w:rFonts w:hint="eastAsia" w:eastAsiaTheme="minorEastAsia" w:cstheme="minorBidi"/>
          <w:color w:val="000000"/>
          <w:kern w:val="0"/>
          <w:sz w:val="24"/>
          <w:szCs w:val="24"/>
          <w:highlight w:val="none"/>
          <w:lang w:val="en-US" w:eastAsia="zh-CN" w:bidi="ar-SA"/>
        </w:rPr>
        <w:t>得当；</w:t>
      </w:r>
      <w:r>
        <w:rPr>
          <w:rFonts w:hint="eastAsia" w:ascii="宋体" w:hAnsi="宋体" w:eastAsiaTheme="minorEastAsia" w:cstheme="minorBidi"/>
          <w:color w:val="000000"/>
          <w:kern w:val="0"/>
          <w:sz w:val="24"/>
          <w:szCs w:val="24"/>
          <w:highlight w:val="none"/>
          <w:lang w:val="en-US" w:eastAsia="zh-CN" w:bidi="ar-SA"/>
        </w:rPr>
        <w:t>产品符合环保、节能要求，未使用国家</w:t>
      </w:r>
      <w:r>
        <w:rPr>
          <w:rFonts w:hint="eastAsia" w:eastAsiaTheme="minorEastAsia" w:cstheme="minorBidi"/>
          <w:color w:val="000000"/>
          <w:kern w:val="0"/>
          <w:sz w:val="24"/>
          <w:szCs w:val="24"/>
          <w:highlight w:val="none"/>
          <w:lang w:val="en-US" w:eastAsia="zh-CN" w:bidi="ar-SA"/>
        </w:rPr>
        <w:t>严禁</w:t>
      </w:r>
      <w:r>
        <w:rPr>
          <w:rFonts w:hint="eastAsia" w:ascii="宋体" w:hAnsi="宋体" w:eastAsiaTheme="minorEastAsia" w:cstheme="minorBidi"/>
          <w:color w:val="000000"/>
          <w:kern w:val="0"/>
          <w:sz w:val="24"/>
          <w:szCs w:val="24"/>
          <w:highlight w:val="none"/>
          <w:lang w:val="en-US" w:eastAsia="zh-CN" w:bidi="ar-SA"/>
        </w:rPr>
        <w:t>淘汰的产品</w:t>
      </w:r>
      <w:r>
        <w:rPr>
          <w:rFonts w:hint="eastAsia" w:eastAsiaTheme="minorEastAsia" w:cstheme="minorBidi"/>
          <w:color w:val="000000"/>
          <w:kern w:val="0"/>
          <w:sz w:val="24"/>
          <w:szCs w:val="24"/>
          <w:highlight w:val="none"/>
          <w:lang w:val="en-US" w:eastAsia="zh-CN" w:bidi="ar-SA"/>
        </w:rPr>
        <w:t>。</w:t>
      </w:r>
    </w:p>
    <w:p>
      <w:pPr>
        <w:pStyle w:val="29"/>
        <w:spacing w:before="42"/>
        <w:ind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ascii="宋体" w:hAnsi="宋体" w:eastAsiaTheme="minorEastAsia" w:cstheme="minorBidi"/>
          <w:b/>
          <w:bCs/>
          <w:color w:val="000000"/>
          <w:kern w:val="0"/>
          <w:sz w:val="24"/>
          <w:szCs w:val="24"/>
          <w:highlight w:val="none"/>
          <w:lang w:val="en-US" w:eastAsia="zh-CN" w:bidi="ar-SA"/>
        </w:rPr>
        <w:t>第八部分 机械设备需用量计划</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8.1 基本内容要素：机械种类、型号满足需要；机械数量、布置满足施工需要</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机械验收、维保、操作，司机（司索工）教育培训等制度齐全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机械现场平面布置覆盖区域合理，有效减小人工搬运，提高工效</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进场机械验收、计量措施有效。</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8.2 重点、特点要素：特种材料使用的机械满足工程需求</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机械进退场计划、管理；特种机械需从区域外购置、租赁有计划，考虑生产周期、运输周期；机械产品符合环保、节能要求，未使用国家严令淘汰的产品。</w:t>
      </w:r>
    </w:p>
    <w:p>
      <w:pPr>
        <w:pStyle w:val="29"/>
        <w:spacing w:before="42"/>
        <w:ind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ascii="宋体" w:hAnsi="宋体" w:eastAsiaTheme="minorEastAsia" w:cstheme="minorBidi"/>
          <w:b/>
          <w:bCs/>
          <w:color w:val="000000"/>
          <w:kern w:val="0"/>
          <w:sz w:val="24"/>
          <w:szCs w:val="24"/>
          <w:highlight w:val="none"/>
          <w:lang w:val="en-US" w:eastAsia="zh-CN" w:bidi="ar-SA"/>
        </w:rPr>
        <w:t>第九部分：质量保证措施和体系</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9.1 基本内容要素：质量目标满足招标要求；质量保证体系健全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质量培训教育、检查、考核奖罚制度健全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质量管理人员资格符合要求</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引用强制性技术标准不得出现错误，或明显违反国家和自治区有关规定</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质量通病防治措施适用工程实际、可行</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质量底线管理措施适用工程实际、可行。</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9.2 特点、重点要素：质量目标优于招标要求，创优创奖目标措施清晰可行；“四新”技术应用切合工程实际</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结合工程实际的创新点、亮点做法。</w:t>
      </w:r>
    </w:p>
    <w:p>
      <w:pPr>
        <w:pStyle w:val="29"/>
        <w:spacing w:before="42"/>
        <w:ind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ascii="宋体" w:hAnsi="宋体" w:eastAsiaTheme="minorEastAsia" w:cstheme="minorBidi"/>
          <w:b/>
          <w:bCs/>
          <w:color w:val="000000"/>
          <w:kern w:val="0"/>
          <w:sz w:val="24"/>
          <w:szCs w:val="24"/>
          <w:highlight w:val="none"/>
          <w:lang w:val="en-US" w:eastAsia="zh-CN" w:bidi="ar-SA"/>
        </w:rPr>
        <w:t>第十部分</w:t>
      </w:r>
      <w:r>
        <w:rPr>
          <w:rFonts w:hint="eastAsia" w:eastAsiaTheme="minorEastAsia" w:cstheme="minorBidi"/>
          <w:b/>
          <w:bCs/>
          <w:color w:val="000000"/>
          <w:kern w:val="0"/>
          <w:sz w:val="24"/>
          <w:szCs w:val="24"/>
          <w:highlight w:val="none"/>
          <w:lang w:val="en-US" w:eastAsia="zh-CN" w:bidi="ar-SA"/>
        </w:rPr>
        <w:t xml:space="preserve"> </w:t>
      </w:r>
      <w:r>
        <w:rPr>
          <w:rFonts w:hint="eastAsia" w:ascii="宋体" w:hAnsi="宋体" w:eastAsiaTheme="minorEastAsia" w:cstheme="minorBidi"/>
          <w:b/>
          <w:bCs/>
          <w:color w:val="000000"/>
          <w:kern w:val="0"/>
          <w:sz w:val="24"/>
          <w:szCs w:val="24"/>
          <w:highlight w:val="none"/>
          <w:lang w:val="en-US" w:eastAsia="zh-CN" w:bidi="ar-SA"/>
        </w:rPr>
        <w:t>工期保证措施和体系</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10.1 基本内容要素：工期目标满足招标文件要求；工期保证体系健全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工期管理、考核奖罚制度健全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人员满足要求，与施组、方案呼应一致</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总进度计划符合招标文件要求，关键节点、关键线路清晰。</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10.2 其他要素：分段、流水划分合理，工序穿插衔接紧密，施工周期符合客观规律，无违背科学规律的</w:t>
      </w:r>
      <w:r>
        <w:rPr>
          <w:rFonts w:hint="eastAsia" w:eastAsiaTheme="minorEastAsia" w:cstheme="minorBidi"/>
          <w:color w:val="000000"/>
          <w:kern w:val="0"/>
          <w:sz w:val="24"/>
          <w:szCs w:val="24"/>
          <w:highlight w:val="none"/>
          <w:lang w:val="en-US" w:eastAsia="zh-CN" w:bidi="ar-SA"/>
        </w:rPr>
        <w:t>情况；</w:t>
      </w:r>
      <w:r>
        <w:rPr>
          <w:rFonts w:hint="eastAsia" w:ascii="宋体" w:hAnsi="宋体" w:eastAsiaTheme="minorEastAsia" w:cstheme="minorBidi"/>
          <w:color w:val="000000"/>
          <w:kern w:val="0"/>
          <w:sz w:val="24"/>
          <w:szCs w:val="24"/>
          <w:highlight w:val="none"/>
          <w:lang w:val="en-US" w:eastAsia="zh-CN" w:bidi="ar-SA"/>
        </w:rPr>
        <w:t>工期保证措施适用工程实际、可行。</w:t>
      </w:r>
    </w:p>
    <w:p>
      <w:pPr>
        <w:pStyle w:val="29"/>
        <w:spacing w:before="42"/>
        <w:ind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ascii="宋体" w:hAnsi="宋体" w:eastAsiaTheme="minorEastAsia" w:cstheme="minorBidi"/>
          <w:b/>
          <w:bCs/>
          <w:color w:val="000000"/>
          <w:kern w:val="0"/>
          <w:sz w:val="24"/>
          <w:szCs w:val="24"/>
          <w:highlight w:val="none"/>
          <w:lang w:val="en-US" w:eastAsia="zh-CN" w:bidi="ar-SA"/>
        </w:rPr>
        <w:t>第十一部分 安全保证措施和体系</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11.1 基本内容要素：安全目标满足招标要求</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安全保证体系健全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安全培训教育、管理、考核奖罚制度健全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安全管理人员资格符合要求</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遵守国家和地方有关规定。</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11.2 其他重点要素：安全风险防控和隐患排查“双控”适用工程实际、可行；危大工程管理符合国家和自治区相关关规定；文明施工措施、标准化切实可行；安全目标高于招标要求，措施清晰可行；结合工程重点、特点的安全技术保证措施。</w:t>
      </w:r>
    </w:p>
    <w:p>
      <w:pPr>
        <w:pStyle w:val="29"/>
        <w:spacing w:before="42"/>
        <w:ind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ascii="宋体" w:hAnsi="宋体" w:eastAsiaTheme="minorEastAsia" w:cstheme="minorBidi"/>
          <w:b/>
          <w:bCs/>
          <w:color w:val="000000"/>
          <w:kern w:val="0"/>
          <w:sz w:val="24"/>
          <w:szCs w:val="24"/>
          <w:highlight w:val="none"/>
          <w:lang w:val="en-US" w:eastAsia="zh-CN" w:bidi="ar-SA"/>
        </w:rPr>
        <w:t>第十二部分</w:t>
      </w:r>
      <w:r>
        <w:rPr>
          <w:rFonts w:hint="eastAsia" w:eastAsiaTheme="minorEastAsia" w:cstheme="minorBidi"/>
          <w:b/>
          <w:bCs/>
          <w:color w:val="000000"/>
          <w:kern w:val="0"/>
          <w:sz w:val="24"/>
          <w:szCs w:val="24"/>
          <w:highlight w:val="none"/>
          <w:lang w:val="en-US" w:eastAsia="zh-CN" w:bidi="ar-SA"/>
        </w:rPr>
        <w:t xml:space="preserve"> </w:t>
      </w:r>
      <w:r>
        <w:rPr>
          <w:rFonts w:hint="eastAsia" w:ascii="宋体" w:hAnsi="宋体" w:eastAsiaTheme="minorEastAsia" w:cstheme="minorBidi"/>
          <w:b/>
          <w:bCs/>
          <w:color w:val="000000"/>
          <w:kern w:val="0"/>
          <w:sz w:val="24"/>
          <w:szCs w:val="24"/>
          <w:highlight w:val="none"/>
          <w:lang w:val="en-US" w:eastAsia="zh-CN" w:bidi="ar-SA"/>
        </w:rPr>
        <w:t>现场文明施工措施</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12.1 基本内容要素：文明施工目标满足或高于招标要求；文明施工体系健全；文明施工培训教育、管理、考核奖罚制度健全；遵守国家和自治区相关规定。</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12.2 其他要素：文明施工措施、标准化切实可行；结合工程实际在文明施工方面的新举措。</w:t>
      </w:r>
    </w:p>
    <w:p>
      <w:pPr>
        <w:pStyle w:val="29"/>
        <w:spacing w:before="42"/>
        <w:ind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ascii="宋体" w:hAnsi="宋体" w:eastAsiaTheme="minorEastAsia" w:cstheme="minorBidi"/>
          <w:b/>
          <w:bCs/>
          <w:color w:val="000000"/>
          <w:kern w:val="0"/>
          <w:sz w:val="24"/>
          <w:szCs w:val="24"/>
          <w:highlight w:val="none"/>
          <w:lang w:val="en-US" w:eastAsia="zh-CN" w:bidi="ar-SA"/>
        </w:rPr>
        <w:t>十三部分</w:t>
      </w:r>
      <w:r>
        <w:rPr>
          <w:rFonts w:hint="eastAsia" w:eastAsiaTheme="minorEastAsia" w:cstheme="minorBidi"/>
          <w:b/>
          <w:bCs/>
          <w:color w:val="000000"/>
          <w:kern w:val="0"/>
          <w:sz w:val="24"/>
          <w:szCs w:val="24"/>
          <w:highlight w:val="none"/>
          <w:lang w:val="en-US" w:eastAsia="zh-CN" w:bidi="ar-SA"/>
        </w:rPr>
        <w:t xml:space="preserve"> </w:t>
      </w:r>
      <w:r>
        <w:rPr>
          <w:rFonts w:hint="eastAsia" w:ascii="宋体" w:hAnsi="宋体" w:eastAsiaTheme="minorEastAsia" w:cstheme="minorBidi"/>
          <w:b/>
          <w:bCs/>
          <w:color w:val="000000"/>
          <w:kern w:val="0"/>
          <w:sz w:val="24"/>
          <w:szCs w:val="24"/>
          <w:highlight w:val="none"/>
          <w:lang w:val="en-US" w:eastAsia="zh-CN" w:bidi="ar-SA"/>
        </w:rPr>
        <w:t>智慧工地及防疫措施</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eastAsiaTheme="minorEastAsia" w:cstheme="minorBidi"/>
          <w:color w:val="000000"/>
          <w:kern w:val="0"/>
          <w:sz w:val="24"/>
          <w:szCs w:val="24"/>
          <w:highlight w:val="none"/>
          <w:lang w:val="en-US" w:eastAsia="zh-CN" w:bidi="ar-SA"/>
        </w:rPr>
        <w:t xml:space="preserve">13.1 </w:t>
      </w:r>
      <w:r>
        <w:rPr>
          <w:rFonts w:hint="eastAsia" w:ascii="宋体" w:hAnsi="宋体" w:eastAsiaTheme="minorEastAsia" w:cstheme="minorBidi"/>
          <w:color w:val="000000"/>
          <w:kern w:val="0"/>
          <w:sz w:val="24"/>
          <w:szCs w:val="24"/>
          <w:highlight w:val="none"/>
          <w:lang w:val="en-US" w:eastAsia="zh-CN" w:bidi="ar-SA"/>
        </w:rPr>
        <w:t>智慧工地评审要素：智慧施工要求、目标满足或高于招标要求，且性价比较高；门禁、监控等智慧工地软硬件符合国家和自治区相关规定；智慧施工培训教育、考核总结奖罚制度健全；拟适用智慧化模块符合工程实际。</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eastAsiaTheme="minorEastAsia" w:cstheme="minorBidi"/>
          <w:color w:val="000000"/>
          <w:kern w:val="0"/>
          <w:sz w:val="24"/>
          <w:szCs w:val="24"/>
          <w:highlight w:val="none"/>
          <w:lang w:val="en-US" w:eastAsia="zh-CN" w:bidi="ar-SA"/>
        </w:rPr>
        <w:t xml:space="preserve">13.2 </w:t>
      </w:r>
      <w:r>
        <w:rPr>
          <w:rFonts w:hint="eastAsia" w:ascii="宋体" w:hAnsi="宋体" w:eastAsiaTheme="minorEastAsia" w:cstheme="minorBidi"/>
          <w:color w:val="000000"/>
          <w:kern w:val="0"/>
          <w:sz w:val="24"/>
          <w:szCs w:val="24"/>
          <w:highlight w:val="none"/>
          <w:lang w:val="en-US" w:eastAsia="zh-CN" w:bidi="ar-SA"/>
        </w:rPr>
        <w:t>疫情防控评审要素：疫情防控要求、目标符合国家和自治区有关规定；企业、项目疫情防控保证体系健全；疫情防控培训教育、管理、处置制度健全</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测温、消杀、专人管理等疫情防控人员配备满足要求</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测温、消杀等疫情防控人员配备满足要求</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防疫物资计划及分阶段储备符合工程实际，在物资计划中有体现；食堂食品留样、隔离区及现场核酸检测区域在符合要求，且在平面布置、</w:t>
      </w:r>
      <w:r>
        <w:rPr>
          <w:rFonts w:hint="eastAsia" w:eastAsiaTheme="minorEastAsia" w:cstheme="minorBidi"/>
          <w:color w:val="000000"/>
          <w:kern w:val="0"/>
          <w:sz w:val="24"/>
          <w:szCs w:val="24"/>
          <w:highlight w:val="none"/>
          <w:lang w:val="en-US" w:eastAsia="zh-CN" w:bidi="ar-SA"/>
        </w:rPr>
        <w:t>临时建筑</w:t>
      </w:r>
      <w:r>
        <w:rPr>
          <w:rFonts w:hint="eastAsia" w:ascii="宋体" w:hAnsi="宋体" w:eastAsiaTheme="minorEastAsia" w:cstheme="minorBidi"/>
          <w:color w:val="000000"/>
          <w:kern w:val="0"/>
          <w:sz w:val="24"/>
          <w:szCs w:val="24"/>
          <w:highlight w:val="none"/>
          <w:lang w:val="en-US" w:eastAsia="zh-CN" w:bidi="ar-SA"/>
        </w:rPr>
        <w:t>中有体现。</w:t>
      </w:r>
    </w:p>
    <w:p>
      <w:pPr>
        <w:pStyle w:val="29"/>
        <w:spacing w:before="42"/>
        <w:ind w:right="0" w:rightChars="0" w:firstLine="482" w:firstLineChars="200"/>
        <w:jc w:val="both"/>
        <w:rPr>
          <w:rFonts w:hint="eastAsia" w:ascii="宋体" w:hAnsi="宋体" w:eastAsiaTheme="minorEastAsia" w:cstheme="minorBidi"/>
          <w:b/>
          <w:bCs/>
          <w:color w:val="000000"/>
          <w:kern w:val="0"/>
          <w:sz w:val="24"/>
          <w:szCs w:val="24"/>
          <w:highlight w:val="none"/>
          <w:lang w:val="en-US" w:eastAsia="zh-CN" w:bidi="ar-SA"/>
        </w:rPr>
      </w:pPr>
      <w:r>
        <w:rPr>
          <w:rFonts w:hint="eastAsia" w:ascii="宋体" w:hAnsi="宋体" w:eastAsiaTheme="minorEastAsia" w:cstheme="minorBidi"/>
          <w:b/>
          <w:bCs/>
          <w:color w:val="000000"/>
          <w:kern w:val="0"/>
          <w:sz w:val="24"/>
          <w:szCs w:val="24"/>
          <w:highlight w:val="none"/>
          <w:lang w:val="en-US" w:eastAsia="zh-CN" w:bidi="ar-SA"/>
        </w:rPr>
        <w:t>第十四部分：BIM技术应用（如有）</w:t>
      </w:r>
    </w:p>
    <w:p>
      <w:pPr>
        <w:pStyle w:val="29"/>
        <w:spacing w:before="42"/>
        <w:ind w:right="0" w:rightChars="0" w:firstLine="480" w:firstLineChars="20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1</w:t>
      </w:r>
      <w:r>
        <w:rPr>
          <w:rFonts w:hint="eastAsia" w:eastAsiaTheme="minorEastAsia" w:cstheme="minorBidi"/>
          <w:color w:val="000000"/>
          <w:kern w:val="0"/>
          <w:sz w:val="24"/>
          <w:szCs w:val="24"/>
          <w:highlight w:val="none"/>
          <w:lang w:val="en-US" w:eastAsia="zh-CN" w:bidi="ar-SA"/>
        </w:rPr>
        <w:t>4</w:t>
      </w:r>
      <w:r>
        <w:rPr>
          <w:rFonts w:hint="eastAsia" w:ascii="宋体" w:hAnsi="宋体" w:eastAsiaTheme="minorEastAsia" w:cstheme="minorBidi"/>
          <w:color w:val="000000"/>
          <w:kern w:val="0"/>
          <w:sz w:val="24"/>
          <w:szCs w:val="24"/>
          <w:highlight w:val="none"/>
          <w:lang w:val="en-US" w:eastAsia="zh-CN" w:bidi="ar-SA"/>
        </w:rPr>
        <w:t>.1 基本内容要素：BIM技术</w:t>
      </w:r>
      <w:r>
        <w:rPr>
          <w:rFonts w:hint="eastAsia" w:eastAsiaTheme="minorEastAsia" w:cstheme="minorBidi"/>
          <w:color w:val="000000"/>
          <w:kern w:val="0"/>
          <w:sz w:val="24"/>
          <w:szCs w:val="24"/>
          <w:highlight w:val="none"/>
          <w:lang w:val="en-US" w:eastAsia="zh-CN" w:bidi="ar-SA"/>
        </w:rPr>
        <w:t>应用</w:t>
      </w:r>
      <w:r>
        <w:rPr>
          <w:rFonts w:hint="eastAsia" w:ascii="宋体" w:hAnsi="宋体" w:eastAsiaTheme="minorEastAsia" w:cstheme="minorBidi"/>
          <w:color w:val="000000"/>
          <w:kern w:val="0"/>
          <w:sz w:val="24"/>
          <w:szCs w:val="24"/>
          <w:highlight w:val="none"/>
          <w:lang w:val="en-US" w:eastAsia="zh-CN" w:bidi="ar-SA"/>
        </w:rPr>
        <w:t>目标满足</w:t>
      </w:r>
      <w:r>
        <w:rPr>
          <w:rFonts w:hint="eastAsia" w:eastAsiaTheme="minorEastAsia" w:cstheme="minorBidi"/>
          <w:color w:val="000000"/>
          <w:kern w:val="0"/>
          <w:sz w:val="24"/>
          <w:szCs w:val="24"/>
          <w:highlight w:val="none"/>
          <w:lang w:val="en-US" w:eastAsia="zh-CN" w:bidi="ar-SA"/>
        </w:rPr>
        <w:t>或高于招标要求，实效性强；BIM人员配置、能力资格符合实际要求；BIM技术应用所需软、硬件满足需求；BIM工作分工明确、切实可行；</w:t>
      </w:r>
      <w:r>
        <w:rPr>
          <w:rFonts w:hint="eastAsia" w:ascii="宋体" w:hAnsi="宋体" w:eastAsiaTheme="minorEastAsia" w:cstheme="minorBidi"/>
          <w:color w:val="000000"/>
          <w:kern w:val="0"/>
          <w:sz w:val="24"/>
          <w:szCs w:val="24"/>
          <w:highlight w:val="none"/>
          <w:lang w:val="en-US" w:eastAsia="zh-CN" w:bidi="ar-SA"/>
        </w:rPr>
        <w:t>BIM应用流程与计划完整、有效；重点工艺节点及施工流程BIM三维模型科学、合理。</w:t>
      </w:r>
    </w:p>
    <w:p>
      <w:pPr>
        <w:pStyle w:val="29"/>
        <w:spacing w:before="42"/>
        <w:ind w:right="0" w:rightChars="0" w:firstLine="480" w:firstLineChars="200"/>
        <w:jc w:val="both"/>
        <w:rPr>
          <w:rFonts w:hint="eastAsia" w:ascii="仿宋" w:hAnsi="仿宋" w:eastAsia="仿宋" w:cs="仿宋"/>
          <w:sz w:val="32"/>
          <w:szCs w:val="32"/>
          <w:highlight w:val="none"/>
        </w:rPr>
      </w:pPr>
      <w:r>
        <w:rPr>
          <w:rFonts w:hint="eastAsia" w:eastAsiaTheme="minorEastAsia" w:cstheme="minorBidi"/>
          <w:color w:val="000000"/>
          <w:kern w:val="0"/>
          <w:sz w:val="24"/>
          <w:szCs w:val="24"/>
          <w:highlight w:val="none"/>
          <w:lang w:val="en-US" w:eastAsia="zh-CN" w:bidi="ar-SA"/>
        </w:rPr>
        <w:t>14.2 其他要素：BIM创优创奖规划，符合工程实际；主体结构、安装、装饰工程之间协调配合得当。</w:t>
      </w: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ind w:left="0" w:leftChars="0" w:firstLine="0" w:firstLineChars="0"/>
        <w:rPr>
          <w:rFonts w:hint="eastAsia" w:ascii="仿宋" w:hAnsi="仿宋" w:eastAsia="仿宋" w:cs="仿宋"/>
          <w:b/>
          <w:bCs/>
          <w:sz w:val="32"/>
          <w:szCs w:val="32"/>
          <w:highlight w:val="none"/>
        </w:rPr>
      </w:pPr>
      <w:r>
        <w:rPr>
          <w:rFonts w:hint="eastAsia" w:ascii="仿宋" w:hAnsi="仿宋" w:eastAsia="仿宋" w:cs="仿宋"/>
          <w:b/>
          <w:bCs/>
          <w:kern w:val="2"/>
          <w:sz w:val="32"/>
          <w:szCs w:val="32"/>
          <w:highlight w:val="none"/>
          <w:lang w:val="en-US" w:eastAsia="zh-CN" w:bidi="ar-SA"/>
        </w:rPr>
        <w:t>附表1-6</w:t>
      </w:r>
    </w:p>
    <w:tbl>
      <w:tblPr>
        <w:tblStyle w:val="15"/>
        <w:tblpPr w:leftFromText="180" w:rightFromText="180" w:vertAnchor="text" w:horzAnchor="page" w:tblpX="1078" w:tblpY="329"/>
        <w:tblOverlap w:val="never"/>
        <w:tblW w:w="9796" w:type="dxa"/>
        <w:tblInd w:w="0" w:type="dxa"/>
        <w:tblLayout w:type="fixed"/>
        <w:tblCellMar>
          <w:top w:w="0" w:type="dxa"/>
          <w:left w:w="0" w:type="dxa"/>
          <w:bottom w:w="0" w:type="dxa"/>
          <w:right w:w="0" w:type="dxa"/>
        </w:tblCellMar>
      </w:tblPr>
      <w:tblGrid>
        <w:gridCol w:w="635"/>
        <w:gridCol w:w="1725"/>
        <w:gridCol w:w="3391"/>
        <w:gridCol w:w="2236"/>
        <w:gridCol w:w="942"/>
        <w:gridCol w:w="867"/>
      </w:tblGrid>
      <w:tr>
        <w:tblPrEx>
          <w:tblCellMar>
            <w:top w:w="0" w:type="dxa"/>
            <w:left w:w="0" w:type="dxa"/>
            <w:bottom w:w="0" w:type="dxa"/>
            <w:right w:w="0" w:type="dxa"/>
          </w:tblCellMar>
        </w:tblPrEx>
        <w:trPr>
          <w:trHeight w:val="510" w:hRule="atLeast"/>
        </w:trPr>
        <w:tc>
          <w:tcPr>
            <w:tcW w:w="9796" w:type="dxa"/>
            <w:gridSpan w:val="6"/>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r>
              <w:rPr>
                <w:rFonts w:hint="eastAsia" w:ascii="宋体" w:hAnsi="宋体" w:eastAsia="宋体" w:cs="宋体"/>
                <w:b/>
                <w:color w:val="000000"/>
                <w:kern w:val="0"/>
                <w:sz w:val="36"/>
                <w:szCs w:val="36"/>
                <w:highlight w:val="none"/>
                <w:lang w:bidi="ar"/>
              </w:rPr>
              <w:t>技术标</w:t>
            </w:r>
            <w:r>
              <w:rPr>
                <w:rFonts w:hint="eastAsia" w:ascii="宋体" w:hAnsi="宋体" w:eastAsia="宋体" w:cs="宋体"/>
                <w:b/>
                <w:color w:val="000000"/>
                <w:kern w:val="0"/>
                <w:sz w:val="36"/>
                <w:szCs w:val="36"/>
                <w:highlight w:val="none"/>
                <w:lang w:val="en-US" w:eastAsia="zh-CN" w:bidi="ar"/>
              </w:rPr>
              <w:t>评审标准（合格制）</w:t>
            </w:r>
          </w:p>
        </w:tc>
      </w:tr>
      <w:tr>
        <w:tblPrEx>
          <w:tblCellMar>
            <w:top w:w="0" w:type="dxa"/>
            <w:left w:w="0" w:type="dxa"/>
            <w:bottom w:w="0" w:type="dxa"/>
            <w:right w:w="0" w:type="dxa"/>
          </w:tblCellMar>
        </w:tblPrEx>
        <w:trPr>
          <w:trHeight w:val="405" w:hRule="atLeast"/>
        </w:trPr>
        <w:tc>
          <w:tcPr>
            <w:tcW w:w="5751" w:type="dxa"/>
            <w:gridSpan w:val="3"/>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黑体" w:hAnsi="宋体" w:eastAsia="黑体" w:cs="黑体"/>
                <w:color w:val="000000"/>
                <w:sz w:val="24"/>
                <w:highlight w:val="none"/>
              </w:rPr>
            </w:pPr>
            <w:r>
              <w:rPr>
                <w:rFonts w:hint="eastAsia" w:ascii="宋体" w:hAnsi="宋体" w:eastAsia="宋体" w:cs="宋体"/>
                <w:b/>
                <w:color w:val="000000"/>
                <w:kern w:val="0"/>
                <w:sz w:val="24"/>
                <w:szCs w:val="24"/>
                <w:highlight w:val="none"/>
                <w:lang w:bidi="ar"/>
              </w:rPr>
              <w:t>项目名称：</w:t>
            </w:r>
          </w:p>
        </w:tc>
        <w:tc>
          <w:tcPr>
            <w:tcW w:w="2236" w:type="dxa"/>
            <w:tcBorders>
              <w:top w:val="nil"/>
              <w:left w:val="nil"/>
              <w:bottom w:val="nil"/>
              <w:right w:val="nil"/>
            </w:tcBorders>
            <w:shd w:val="clear" w:color="auto" w:fill="auto"/>
            <w:noWrap/>
            <w:tcMar>
              <w:top w:w="15" w:type="dxa"/>
              <w:left w:w="15" w:type="dxa"/>
              <w:right w:w="15" w:type="dxa"/>
            </w:tcMar>
            <w:vAlign w:val="center"/>
          </w:tcPr>
          <w:p>
            <w:pPr>
              <w:jc w:val="center"/>
              <w:rPr>
                <w:rFonts w:ascii="黑体" w:hAnsi="宋体" w:eastAsia="黑体" w:cs="黑体"/>
                <w:b/>
                <w:color w:val="000000"/>
                <w:sz w:val="32"/>
                <w:szCs w:val="32"/>
                <w:highlight w:val="none"/>
              </w:rPr>
            </w:pPr>
          </w:p>
        </w:tc>
        <w:tc>
          <w:tcPr>
            <w:tcW w:w="942" w:type="dxa"/>
            <w:tcBorders>
              <w:top w:val="nil"/>
              <w:left w:val="nil"/>
              <w:bottom w:val="nil"/>
              <w:right w:val="nil"/>
            </w:tcBorders>
            <w:shd w:val="clear" w:color="auto" w:fill="auto"/>
            <w:noWrap/>
            <w:tcMar>
              <w:top w:w="15" w:type="dxa"/>
              <w:left w:w="15" w:type="dxa"/>
              <w:right w:w="15" w:type="dxa"/>
            </w:tcMar>
            <w:vAlign w:val="center"/>
          </w:tcPr>
          <w:p>
            <w:pPr>
              <w:jc w:val="center"/>
              <w:rPr>
                <w:rFonts w:ascii="黑体" w:hAnsi="宋体" w:eastAsia="黑体" w:cs="黑体"/>
                <w:b/>
                <w:color w:val="000000"/>
                <w:sz w:val="32"/>
                <w:szCs w:val="32"/>
                <w:highlight w:val="none"/>
              </w:rPr>
            </w:pPr>
          </w:p>
        </w:tc>
        <w:tc>
          <w:tcPr>
            <w:tcW w:w="867"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790" w:hRule="atLeast"/>
        </w:trPr>
        <w:tc>
          <w:tcPr>
            <w:tcW w:w="6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序号</w:t>
            </w:r>
          </w:p>
        </w:tc>
        <w:tc>
          <w:tcPr>
            <w:tcW w:w="17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评审项目</w:t>
            </w:r>
          </w:p>
        </w:tc>
        <w:tc>
          <w:tcPr>
            <w:tcW w:w="5627"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评审标准</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评审意见</w:t>
            </w:r>
            <w:r>
              <w:rPr>
                <w:rFonts w:hint="eastAsia" w:ascii="宋体" w:hAnsi="宋体" w:eastAsia="宋体" w:cs="宋体"/>
                <w:b/>
                <w:color w:val="000000"/>
                <w:kern w:val="0"/>
                <w:sz w:val="24"/>
                <w:highlight w:val="none"/>
                <w:lang w:val="en-US" w:eastAsia="zh-CN" w:bidi="ar"/>
              </w:rPr>
              <w:br w:type="textWrapping"/>
            </w:r>
            <w:r>
              <w:rPr>
                <w:rFonts w:hint="eastAsia" w:ascii="宋体" w:hAnsi="宋体" w:eastAsia="宋体" w:cs="宋体"/>
                <w:b/>
                <w:color w:val="000000"/>
                <w:kern w:val="0"/>
                <w:sz w:val="24"/>
                <w:highlight w:val="none"/>
                <w:lang w:val="en-US" w:eastAsia="zh-CN" w:bidi="ar"/>
              </w:rPr>
              <w:t>（是否通过）</w:t>
            </w:r>
          </w:p>
        </w:tc>
      </w:tr>
      <w:tr>
        <w:tblPrEx>
          <w:tblCellMar>
            <w:top w:w="0" w:type="dxa"/>
            <w:left w:w="0" w:type="dxa"/>
            <w:bottom w:w="0" w:type="dxa"/>
            <w:right w:w="0" w:type="dxa"/>
          </w:tblCellMar>
        </w:tblPrEx>
        <w:trPr>
          <w:trHeight w:val="552" w:hRule="atLeast"/>
        </w:trPr>
        <w:tc>
          <w:tcPr>
            <w:tcW w:w="6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p>
        </w:tc>
        <w:tc>
          <w:tcPr>
            <w:tcW w:w="17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p>
        </w:tc>
        <w:tc>
          <w:tcPr>
            <w:tcW w:w="5627"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通过</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不通过</w:t>
            </w:r>
          </w:p>
        </w:tc>
      </w:tr>
      <w:tr>
        <w:tblPrEx>
          <w:tblCellMar>
            <w:top w:w="0" w:type="dxa"/>
            <w:left w:w="0" w:type="dxa"/>
            <w:bottom w:w="0" w:type="dxa"/>
            <w:right w:w="0" w:type="dxa"/>
          </w:tblCellMar>
        </w:tblPrEx>
        <w:trPr>
          <w:trHeight w:val="4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施工准备计划</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施工技术、现场、物资与机械、队伍准备计划充分保证工程需要</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7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施工方案</w:t>
            </w:r>
          </w:p>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与技术措施</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4"/>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施工方案符合工程实际情况，部署及措施先进、可靠</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针对项目的重点、难点分析应透彻，解决方案切实可行；</w:t>
            </w:r>
          </w:p>
          <w:p>
            <w:pPr>
              <w:widowControl/>
              <w:jc w:val="both"/>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市政基础设施项目，交通组织规划合理、可行，交通组织措施得力。</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379"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施工进度计划</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进度计划应在空间和时间上做合理的统筹安排且符合施工的科学规律</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34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施工平面布置</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施工平面布置应符合工程实际，有针对性、布置合理，满足施工需要，便于施工和管理并符合安全、文明生产要求。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劳动力</w:t>
            </w:r>
          </w:p>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需用量计划</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劳动力投入计划与施工部署、施工方法及进度计划能够相互呼应并较好满足施工需要</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2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材料</w:t>
            </w:r>
          </w:p>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需用量计划</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材料投入计划与施工部署、施工方法及进度计划能够相互呼应并较好满足施工需要</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371"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机械设备</w:t>
            </w:r>
          </w:p>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需用量计划</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机械投入计划与施工部署、施工方法及进度计划能够相互呼应并较好满足施工需要</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349"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质量保证</w:t>
            </w:r>
          </w:p>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措施和体系</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保证措施应符合科学的施工规律、国家规定的强制性标准并有针对性，同时要符合实际情况，切实可行。质量目标明确，管理机构健全，职责分工明确；管理制度齐全；实施措施全面、有效。</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2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工期保证</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措施和体系</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总工期及节点工期满足招标文件要求；施工进度计划内容全面，线路清晰、准确、完整，计划编制合理、可行；措施有力、合理、可行。</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zh-CN" w:eastAsia="zh-CN" w:bidi="ar-SA"/>
              </w:rPr>
              <w:t>安全保证</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zh-CN" w:eastAsia="zh-CN" w:bidi="ar-SA"/>
              </w:rPr>
              <w:t>措施和体系</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jc w:val="both"/>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保证措施应符合国家及自治区规定的强制性标准并有针对性，同时要符合实际</w:t>
            </w:r>
            <w:r>
              <w:rPr>
                <w:rFonts w:hint="default" w:ascii="宋体" w:hAnsi="宋体" w:eastAsiaTheme="minorEastAsia" w:cstheme="minorBidi"/>
                <w:color w:val="000000"/>
                <w:kern w:val="0"/>
                <w:sz w:val="24"/>
                <w:szCs w:val="24"/>
                <w:highlight w:val="none"/>
                <w:lang w:val="en-US" w:eastAsia="zh-CN" w:bidi="ar-SA"/>
              </w:rPr>
              <w:t>情况，切实可行。</w:t>
            </w:r>
          </w:p>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zh-CN" w:eastAsia="zh-CN" w:bidi="ar-SA"/>
              </w:rPr>
              <w:t>安全目标明确，优于招标文件要求；管理机构健全，职责分工明确；管理制度齐全；实施与监控措施全面、有效。</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zh-CN" w:eastAsia="zh-CN" w:bidi="ar-SA"/>
              </w:rPr>
              <w:t>现场文明</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zh-CN" w:eastAsia="zh-CN" w:bidi="ar-SA"/>
              </w:rPr>
              <w:t>施工措施</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zh-CN" w:eastAsia="zh-CN" w:bidi="ar-SA"/>
              </w:rPr>
              <w:t>管理措施目标明确，符合工程实际情况，切实可行；管理机构健全，职责分工明确；管理制度齐全；</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智慧工地</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及防疫措施</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智慧工地</w:t>
            </w:r>
            <w:r>
              <w:rPr>
                <w:rFonts w:hint="eastAsia" w:eastAsiaTheme="minorEastAsia" w:cstheme="minorBidi"/>
                <w:color w:val="000000"/>
                <w:kern w:val="0"/>
                <w:sz w:val="24"/>
                <w:szCs w:val="24"/>
                <w:highlight w:val="none"/>
                <w:lang w:val="en-US" w:eastAsia="zh-CN" w:bidi="ar-SA"/>
              </w:rPr>
              <w:t>系统应用实施方案</w:t>
            </w:r>
            <w:r>
              <w:rPr>
                <w:rFonts w:hint="eastAsia" w:ascii="宋体" w:hAnsi="宋体" w:eastAsiaTheme="minorEastAsia" w:cstheme="minorBidi"/>
                <w:color w:val="000000"/>
                <w:kern w:val="0"/>
                <w:sz w:val="24"/>
                <w:szCs w:val="24"/>
                <w:highlight w:val="none"/>
                <w:lang w:val="en-US" w:eastAsia="zh-CN" w:bidi="ar-SA"/>
              </w:rPr>
              <w:t>、防疫措施切实可行。</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BIM技术应用</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（如有）</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BIM技术应用管理体系健全，管理制度、保障措施齐全；BIM应用流程与计划完整、有效；重点工艺节点及施工流程BIM三维模型科学、合理等。</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w:t>
            </w:r>
          </w:p>
        </w:tc>
        <w:tc>
          <w:tcPr>
            <w:tcW w:w="5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79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结论：是否通过评审</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bl>
    <w:p>
      <w:pPr>
        <w:pStyle w:val="2"/>
        <w:ind w:left="0" w:leftChars="0" w:firstLine="0" w:firstLineChars="0"/>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eastAsia="仿宋"/>
          <w:highlight w:val="none"/>
          <w:lang w:eastAsia="zh-CN"/>
        </w:rPr>
      </w:pPr>
      <w:r>
        <w:rPr>
          <w:rFonts w:hint="eastAsia" w:ascii="仿宋" w:hAnsi="仿宋" w:eastAsia="仿宋" w:cs="仿宋"/>
          <w:b/>
          <w:bCs/>
          <w:sz w:val="32"/>
          <w:szCs w:val="32"/>
          <w:highlight w:val="none"/>
        </w:rPr>
        <w:t>附表1-</w:t>
      </w:r>
      <w:r>
        <w:rPr>
          <w:rFonts w:hint="eastAsia" w:ascii="仿宋" w:hAnsi="仿宋" w:eastAsia="仿宋" w:cs="仿宋"/>
          <w:b/>
          <w:bCs/>
          <w:sz w:val="32"/>
          <w:szCs w:val="32"/>
          <w:highlight w:val="none"/>
          <w:lang w:val="en-US" w:eastAsia="zh-CN"/>
        </w:rPr>
        <w:t>7</w:t>
      </w:r>
    </w:p>
    <w:tbl>
      <w:tblPr>
        <w:tblStyle w:val="15"/>
        <w:tblW w:w="8775" w:type="dxa"/>
        <w:tblInd w:w="0" w:type="dxa"/>
        <w:tblLayout w:type="fixed"/>
        <w:tblCellMar>
          <w:top w:w="0" w:type="dxa"/>
          <w:left w:w="0" w:type="dxa"/>
          <w:bottom w:w="0" w:type="dxa"/>
          <w:right w:w="0" w:type="dxa"/>
        </w:tblCellMar>
      </w:tblPr>
      <w:tblGrid>
        <w:gridCol w:w="2689"/>
        <w:gridCol w:w="2918"/>
        <w:gridCol w:w="3168"/>
      </w:tblGrid>
      <w:tr>
        <w:tblPrEx>
          <w:tblCellMar>
            <w:top w:w="0" w:type="dxa"/>
            <w:left w:w="0" w:type="dxa"/>
            <w:bottom w:w="0" w:type="dxa"/>
            <w:right w:w="0" w:type="dxa"/>
          </w:tblCellMar>
        </w:tblPrEx>
        <w:trPr>
          <w:trHeight w:val="780" w:hRule="atLeast"/>
        </w:trPr>
        <w:tc>
          <w:tcPr>
            <w:tcW w:w="8775" w:type="dxa"/>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40"/>
                <w:szCs w:val="40"/>
                <w:highlight w:val="none"/>
              </w:rPr>
            </w:pPr>
            <w:r>
              <w:rPr>
                <w:rFonts w:hint="eastAsia" w:ascii="宋体" w:hAnsi="宋体" w:eastAsia="宋体" w:cs="宋体"/>
                <w:b/>
                <w:color w:val="000000"/>
                <w:kern w:val="0"/>
                <w:sz w:val="36"/>
                <w:szCs w:val="36"/>
                <w:highlight w:val="none"/>
                <w:lang w:bidi="ar"/>
              </w:rPr>
              <w:t>综合评估法经济标基准价计算表</w:t>
            </w:r>
          </w:p>
        </w:tc>
      </w:tr>
      <w:tr>
        <w:tblPrEx>
          <w:tblCellMar>
            <w:top w:w="0" w:type="dxa"/>
            <w:left w:w="0" w:type="dxa"/>
            <w:bottom w:w="0" w:type="dxa"/>
            <w:right w:w="0" w:type="dxa"/>
          </w:tblCellMar>
        </w:tblPrEx>
        <w:trPr>
          <w:trHeight w:val="270" w:hRule="atLeast"/>
        </w:trPr>
        <w:tc>
          <w:tcPr>
            <w:tcW w:w="2689"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b/>
                <w:color w:val="000000"/>
                <w:kern w:val="0"/>
                <w:sz w:val="24"/>
                <w:szCs w:val="24"/>
                <w:highlight w:val="none"/>
                <w:lang w:bidi="ar"/>
              </w:rPr>
              <w:t>项目名称：</w:t>
            </w:r>
          </w:p>
        </w:tc>
        <w:tc>
          <w:tcPr>
            <w:tcW w:w="291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316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285" w:hRule="atLeast"/>
        </w:trPr>
        <w:tc>
          <w:tcPr>
            <w:tcW w:w="87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招标控制价部分</w:t>
            </w:r>
          </w:p>
        </w:tc>
      </w:tr>
      <w:tr>
        <w:tblPrEx>
          <w:tblCellMar>
            <w:top w:w="0" w:type="dxa"/>
            <w:left w:w="0" w:type="dxa"/>
            <w:bottom w:w="0" w:type="dxa"/>
            <w:right w:w="0" w:type="dxa"/>
          </w:tblCellMar>
        </w:tblPrEx>
        <w:trPr>
          <w:trHeight w:val="400"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招标控制价</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2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其中：</w:t>
            </w: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暂列金</w:t>
            </w:r>
          </w:p>
        </w:tc>
        <w:tc>
          <w:tcPr>
            <w:tcW w:w="3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2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专业工程暂估</w:t>
            </w:r>
          </w:p>
        </w:tc>
        <w:tc>
          <w:tcPr>
            <w:tcW w:w="3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2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材料暂估</w:t>
            </w:r>
          </w:p>
        </w:tc>
        <w:tc>
          <w:tcPr>
            <w:tcW w:w="3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2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c>
          <w:tcPr>
            <w:tcW w:w="2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甲供材料</w:t>
            </w:r>
          </w:p>
        </w:tc>
        <w:tc>
          <w:tcPr>
            <w:tcW w:w="3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60"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控制价可竞争部分的下浮率K</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397"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招标控制价部分基准价</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87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投标报价部分</w:t>
            </w:r>
          </w:p>
        </w:tc>
      </w:tr>
      <w:tr>
        <w:tblPrEx>
          <w:tblCellMar>
            <w:top w:w="0" w:type="dxa"/>
            <w:left w:w="0" w:type="dxa"/>
            <w:bottom w:w="0" w:type="dxa"/>
            <w:right w:w="0" w:type="dxa"/>
          </w:tblCellMar>
        </w:tblPrEx>
        <w:trPr>
          <w:trHeight w:val="400"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有效投标人家数</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是否大于5家</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20"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有效投标人家数的20%（四舍五入取整）</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投标报价部分基准价</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87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评标基准价计算</w:t>
            </w:r>
          </w:p>
        </w:tc>
      </w:tr>
      <w:tr>
        <w:tblPrEx>
          <w:tblCellMar>
            <w:top w:w="0" w:type="dxa"/>
            <w:left w:w="0" w:type="dxa"/>
            <w:bottom w:w="0" w:type="dxa"/>
            <w:right w:w="0" w:type="dxa"/>
          </w:tblCellMar>
        </w:tblPrEx>
        <w:trPr>
          <w:trHeight w:val="400"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招标控制价部分基准价</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268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投标报价部分基准价</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2689" w:type="dxa"/>
            <w:tcBorders>
              <w:top w:val="nil"/>
              <w:left w:val="single" w:color="auto" w:sz="4" w:space="0"/>
              <w:bottom w:val="nil"/>
              <w:right w:val="nil"/>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评标基准价中控制价权重K1</w:t>
            </w:r>
          </w:p>
        </w:tc>
        <w:tc>
          <w:tcPr>
            <w:tcW w:w="60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268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评标基准价</w:t>
            </w:r>
          </w:p>
        </w:tc>
        <w:tc>
          <w:tcPr>
            <w:tcW w:w="29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31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bl>
    <w:p>
      <w:pPr>
        <w:rPr>
          <w:rFonts w:ascii="仿宋_GB2312" w:eastAsia="仿宋_GB2312" w:cs="Times New Roman"/>
          <w:sz w:val="24"/>
          <w:szCs w:val="22"/>
          <w:highlight w:val="none"/>
        </w:rPr>
      </w:pPr>
      <w:r>
        <w:rPr>
          <w:rFonts w:ascii="仿宋_GB2312" w:eastAsia="仿宋_GB2312" w:cs="Times New Roman"/>
          <w:sz w:val="24"/>
          <w:szCs w:val="22"/>
          <w:highlight w:val="none"/>
        </w:rPr>
        <w:br w:type="page"/>
      </w:r>
    </w:p>
    <w:p>
      <w:pPr>
        <w:spacing w:line="440" w:lineRule="exact"/>
        <w:jc w:val="left"/>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附表1-</w:t>
      </w:r>
      <w:r>
        <w:rPr>
          <w:rFonts w:hint="eastAsia" w:ascii="仿宋" w:hAnsi="仿宋" w:eastAsia="仿宋" w:cs="仿宋"/>
          <w:b/>
          <w:bCs/>
          <w:sz w:val="32"/>
          <w:szCs w:val="32"/>
          <w:highlight w:val="none"/>
          <w:lang w:val="en-US" w:eastAsia="zh-CN"/>
        </w:rPr>
        <w:t>8</w:t>
      </w:r>
    </w:p>
    <w:tbl>
      <w:tblPr>
        <w:tblStyle w:val="15"/>
        <w:tblpPr w:leftFromText="180" w:rightFromText="180" w:vertAnchor="text" w:horzAnchor="page" w:tblpX="1053" w:tblpY="648"/>
        <w:tblOverlap w:val="never"/>
        <w:tblW w:w="9927" w:type="dxa"/>
        <w:tblInd w:w="0" w:type="dxa"/>
        <w:tblLayout w:type="fixed"/>
        <w:tblCellMar>
          <w:top w:w="0" w:type="dxa"/>
          <w:left w:w="0" w:type="dxa"/>
          <w:bottom w:w="0" w:type="dxa"/>
          <w:right w:w="0" w:type="dxa"/>
        </w:tblCellMar>
      </w:tblPr>
      <w:tblGrid>
        <w:gridCol w:w="1800"/>
        <w:gridCol w:w="1678"/>
        <w:gridCol w:w="1609"/>
        <w:gridCol w:w="1582"/>
        <w:gridCol w:w="1609"/>
        <w:gridCol w:w="1649"/>
      </w:tblGrid>
      <w:tr>
        <w:tblPrEx>
          <w:tblCellMar>
            <w:top w:w="0" w:type="dxa"/>
            <w:left w:w="0" w:type="dxa"/>
            <w:bottom w:w="0" w:type="dxa"/>
            <w:right w:w="0" w:type="dxa"/>
          </w:tblCellMar>
        </w:tblPrEx>
        <w:trPr>
          <w:trHeight w:val="660" w:hRule="atLeast"/>
        </w:trPr>
        <w:tc>
          <w:tcPr>
            <w:tcW w:w="992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40"/>
                <w:szCs w:val="40"/>
                <w:highlight w:val="none"/>
              </w:rPr>
            </w:pPr>
            <w:r>
              <w:rPr>
                <w:rFonts w:hint="eastAsia" w:ascii="宋体" w:hAnsi="宋体" w:eastAsia="宋体" w:cs="宋体"/>
                <w:b/>
                <w:color w:val="000000"/>
                <w:kern w:val="0"/>
                <w:sz w:val="36"/>
                <w:szCs w:val="36"/>
                <w:highlight w:val="none"/>
                <w:lang w:bidi="ar"/>
              </w:rPr>
              <w:t>综合评估法经济标计分表</w:t>
            </w:r>
          </w:p>
        </w:tc>
      </w:tr>
      <w:tr>
        <w:tblPrEx>
          <w:tblCellMar>
            <w:top w:w="0" w:type="dxa"/>
            <w:left w:w="0" w:type="dxa"/>
            <w:bottom w:w="0" w:type="dxa"/>
            <w:right w:w="0" w:type="dxa"/>
          </w:tblCellMar>
        </w:tblPrEx>
        <w:trPr>
          <w:trHeight w:val="380" w:hRule="atLeast"/>
        </w:trPr>
        <w:tc>
          <w:tcPr>
            <w:tcW w:w="992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b/>
                <w:color w:val="000000"/>
                <w:kern w:val="0"/>
                <w:sz w:val="24"/>
                <w:szCs w:val="24"/>
                <w:highlight w:val="none"/>
                <w:lang w:bidi="ar"/>
              </w:rPr>
              <w:t>项目名称：</w:t>
            </w:r>
          </w:p>
        </w:tc>
      </w:tr>
      <w:tr>
        <w:tblPrEx>
          <w:tblCellMar>
            <w:top w:w="0" w:type="dxa"/>
            <w:left w:w="0" w:type="dxa"/>
            <w:bottom w:w="0" w:type="dxa"/>
            <w:right w:w="0"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单位名称</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投标报价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评标基准价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偏差率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60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计算得分</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270" w:hRule="atLeast"/>
        </w:trPr>
        <w:tc>
          <w:tcPr>
            <w:tcW w:w="1800"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highlight w:val="none"/>
              </w:rPr>
            </w:pPr>
          </w:p>
        </w:tc>
        <w:tc>
          <w:tcPr>
            <w:tcW w:w="1678"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1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158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16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164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bl>
    <w:p>
      <w:pPr>
        <w:rPr>
          <w:rFonts w:ascii="仿宋_GB2312" w:eastAsia="仿宋_GB2312" w:cs="Times New Roman"/>
          <w:sz w:val="24"/>
          <w:szCs w:val="22"/>
          <w:highlight w:val="none"/>
        </w:rPr>
      </w:pPr>
    </w:p>
    <w:p>
      <w:pPr>
        <w:rPr>
          <w:rFonts w:ascii="仿宋_GB2312" w:eastAsia="仿宋_GB2312" w:cs="Times New Roman"/>
          <w:sz w:val="24"/>
          <w:szCs w:val="22"/>
          <w:highlight w:val="none"/>
        </w:rPr>
      </w:pPr>
      <w:r>
        <w:rPr>
          <w:rFonts w:ascii="仿宋_GB2312" w:eastAsia="仿宋_GB2312" w:cs="Times New Roman"/>
          <w:sz w:val="24"/>
          <w:szCs w:val="22"/>
          <w:highlight w:val="none"/>
        </w:rPr>
        <w:br w:type="page"/>
      </w:r>
    </w:p>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附件2：</w:t>
      </w:r>
    </w:p>
    <w:p>
      <w:pPr>
        <w:widowControl/>
        <w:shd w:val="clear" w:color="auto" w:fill="FFFFFF"/>
        <w:jc w:val="center"/>
        <w:rPr>
          <w:rFonts w:hint="eastAsia" w:ascii="仿宋" w:hAnsi="仿宋" w:eastAsia="仿宋" w:cs="仿宋"/>
          <w:b/>
          <w:sz w:val="32"/>
          <w:szCs w:val="32"/>
          <w:highlight w:val="none"/>
        </w:rPr>
      </w:pPr>
      <w:r>
        <w:rPr>
          <w:rFonts w:hint="eastAsia" w:ascii="方正小标宋简体" w:hAnsi="仿宋_GB2312" w:eastAsia="方正小标宋简体" w:cs="Times New Roman"/>
          <w:kern w:val="0"/>
          <w:sz w:val="44"/>
          <w:szCs w:val="44"/>
          <w:highlight w:val="none"/>
        </w:rPr>
        <w:t>经评审合理低价法</w:t>
      </w:r>
    </w:p>
    <w:p>
      <w:pPr>
        <w:ind w:firstLine="640" w:firstLineChars="200"/>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一、适用范围</w:t>
      </w:r>
    </w:p>
    <w:p>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适用于具有通用技术、性能标准或招标人对其技术、性能没有特殊要求的建筑工程施工项目。</w:t>
      </w:r>
    </w:p>
    <w:p>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符合下列情形之一的，应当采用经评审的最低投标价法：</w:t>
      </w:r>
    </w:p>
    <w:p>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1．施工总承包工程单项最高投标限价在2000万元（不含）以下的；</w:t>
      </w:r>
    </w:p>
    <w:p>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2．专业承包工程单项最高投标限价在800万元（不含）以下的。</w:t>
      </w:r>
    </w:p>
    <w:p>
      <w:pPr>
        <w:pStyle w:val="7"/>
        <w:spacing w:line="540" w:lineRule="exact"/>
        <w:ind w:firstLine="640" w:firstLineChars="200"/>
        <w:rPr>
          <w:rFonts w:hint="eastAsia"/>
          <w:highlight w:val="none"/>
          <w:lang w:val="en-US"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评审程序与方法</w:t>
      </w:r>
    </w:p>
    <w:p>
      <w:pPr>
        <w:pStyle w:val="7"/>
        <w:spacing w:line="540" w:lineRule="exact"/>
        <w:ind w:left="0" w:leftChars="0"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一</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初步评审</w:t>
      </w:r>
    </w:p>
    <w:p>
      <w:pPr>
        <w:pStyle w:val="7"/>
        <w:spacing w:line="54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按照本办法第十五条至第十七条及形式、资格和</w:t>
      </w:r>
      <w:r>
        <w:rPr>
          <w:rFonts w:hint="eastAsia" w:ascii="仿宋" w:hAnsi="仿宋" w:eastAsia="仿宋" w:cs="仿宋"/>
          <w:sz w:val="32"/>
          <w:szCs w:val="32"/>
          <w:highlight w:val="none"/>
          <w:lang w:val="en-US" w:eastAsia="zh-CN"/>
        </w:rPr>
        <w:t>重大偏差评审标准（</w:t>
      </w:r>
      <w:r>
        <w:rPr>
          <w:rFonts w:hint="eastAsia" w:ascii="仿宋" w:hAnsi="仿宋" w:eastAsia="仿宋" w:cs="仿宋"/>
          <w:sz w:val="32"/>
          <w:szCs w:val="32"/>
          <w:highlight w:val="none"/>
        </w:rPr>
        <w:t>附表</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1-2、1-3）</w:t>
      </w:r>
      <w:r>
        <w:rPr>
          <w:rFonts w:hint="eastAsia" w:ascii="仿宋" w:hAnsi="仿宋" w:eastAsia="仿宋" w:cs="仿宋"/>
          <w:sz w:val="32"/>
          <w:szCs w:val="32"/>
          <w:highlight w:val="none"/>
        </w:rPr>
        <w:t>规定，对投标文件进行评审，对不符合相关规定和要求的投标文件予以否决。</w:t>
      </w:r>
    </w:p>
    <w:p>
      <w:pPr>
        <w:pStyle w:val="7"/>
        <w:spacing w:line="54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采取资格预审的，按照本办法第五条至第六条以及相关评审表格和招标文件</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规定进行评审。</w:t>
      </w:r>
    </w:p>
    <w:p>
      <w:pPr>
        <w:pStyle w:val="7"/>
        <w:spacing w:line="540" w:lineRule="exact"/>
        <w:ind w:left="0" w:leftChars="0" w:firstLine="640" w:firstLineChars="200"/>
        <w:rPr>
          <w:rFonts w:hint="eastAsia" w:ascii="仿宋" w:hAnsi="仿宋" w:eastAsia="仿宋" w:cs="仿宋"/>
          <w:b/>
          <w:sz w:val="32"/>
          <w:szCs w:val="32"/>
          <w:highlight w:val="none"/>
        </w:rPr>
      </w:pP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lang w:val="en-US" w:eastAsia="zh-CN"/>
        </w:rPr>
        <w:t>二</w:t>
      </w:r>
      <w:r>
        <w:rPr>
          <w:rFonts w:hint="eastAsia" w:ascii="楷体" w:hAnsi="楷体" w:eastAsia="楷体" w:cs="楷体"/>
          <w:b w:val="0"/>
          <w:bCs w:val="0"/>
          <w:sz w:val="32"/>
          <w:szCs w:val="32"/>
          <w:highlight w:val="none"/>
          <w:lang w:eastAsia="zh-CN"/>
        </w:rPr>
        <w:t>）</w:t>
      </w:r>
      <w:r>
        <w:rPr>
          <w:rFonts w:hint="eastAsia" w:ascii="楷体" w:hAnsi="楷体" w:eastAsia="楷体" w:cs="楷体"/>
          <w:b w:val="0"/>
          <w:bCs w:val="0"/>
          <w:sz w:val="32"/>
          <w:szCs w:val="32"/>
          <w:highlight w:val="none"/>
        </w:rPr>
        <w:t>详细评审</w:t>
      </w:r>
    </w:p>
    <w:p>
      <w:pPr>
        <w:pStyle w:val="7"/>
        <w:spacing w:line="540" w:lineRule="exact"/>
        <w:ind w:left="638" w:leftChars="304" w:firstLine="0" w:firstLineChars="0"/>
        <w:rPr>
          <w:rFonts w:hint="eastAsia" w:ascii="仿宋" w:hAnsi="仿宋" w:eastAsia="仿宋" w:cs="仿宋"/>
          <w:b/>
          <w:sz w:val="32"/>
          <w:szCs w:val="32"/>
          <w:highlight w:val="none"/>
        </w:rPr>
      </w:pPr>
      <w:r>
        <w:rPr>
          <w:rFonts w:hint="eastAsia" w:ascii="仿宋" w:hAnsi="仿宋" w:eastAsia="仿宋" w:cs="仿宋"/>
          <w:sz w:val="32"/>
          <w:szCs w:val="32"/>
          <w:highlight w:val="none"/>
          <w:lang w:val="en-US" w:eastAsia="zh-CN"/>
        </w:rPr>
        <w:t>通过初步评审的投标人进入详细评审，</w:t>
      </w:r>
      <w:r>
        <w:rPr>
          <w:rFonts w:hint="eastAsia" w:ascii="仿宋" w:hAnsi="仿宋" w:eastAsia="仿宋" w:cs="仿宋"/>
          <w:sz w:val="32"/>
          <w:szCs w:val="32"/>
          <w:highlight w:val="none"/>
        </w:rPr>
        <w:t>评审程序如下：</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、技术标评审</w:t>
      </w:r>
    </w:p>
    <w:p>
      <w:pPr>
        <w:pStyle w:val="7"/>
        <w:spacing w:line="54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技术标评审采用暗标</w:t>
      </w:r>
      <w:r>
        <w:rPr>
          <w:rFonts w:hint="eastAsia" w:ascii="仿宋" w:hAnsi="仿宋" w:eastAsia="仿宋" w:cs="仿宋"/>
          <w:sz w:val="32"/>
          <w:szCs w:val="32"/>
          <w:highlight w:val="none"/>
          <w:lang w:val="en-US" w:eastAsia="zh-CN"/>
        </w:rPr>
        <w:t>合格制方式进行。由评标委员会按照本办法技术标评审标准（合格制）（附表1-6）规定进行评审。</w:t>
      </w:r>
    </w:p>
    <w:p>
      <w:pPr>
        <w:pStyle w:val="7"/>
        <w:spacing w:line="540" w:lineRule="exact"/>
        <w:ind w:firstLine="643" w:firstLineChars="200"/>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经济标评审</w:t>
      </w:r>
    </w:p>
    <w:p>
      <w:pPr>
        <w:pStyle w:val="7"/>
        <w:numPr>
          <w:ilvl w:val="0"/>
          <w:numId w:val="0"/>
        </w:numPr>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经济标</w:t>
      </w:r>
      <w:r>
        <w:rPr>
          <w:rFonts w:hint="eastAsia" w:ascii="仿宋" w:hAnsi="仿宋" w:eastAsia="仿宋" w:cs="仿宋"/>
          <w:color w:val="auto"/>
          <w:sz w:val="32"/>
          <w:szCs w:val="32"/>
          <w:highlight w:val="none"/>
        </w:rPr>
        <w:t>评审分为报价合理性评审</w:t>
      </w:r>
      <w:r>
        <w:rPr>
          <w:rFonts w:hint="eastAsia" w:ascii="仿宋" w:hAnsi="仿宋" w:eastAsia="仿宋" w:cs="仿宋"/>
          <w:color w:val="auto"/>
          <w:sz w:val="32"/>
          <w:szCs w:val="32"/>
          <w:highlight w:val="none"/>
          <w:lang w:val="en-US" w:eastAsia="zh-CN"/>
        </w:rPr>
        <w:t>和合理低价评定。</w:t>
      </w:r>
    </w:p>
    <w:p>
      <w:pPr>
        <w:pStyle w:val="7"/>
        <w:spacing w:line="54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2.1 报价合理性评审</w:t>
      </w:r>
    </w:p>
    <w:p>
      <w:pPr>
        <w:pStyle w:val="7"/>
        <w:spacing w:line="540" w:lineRule="exact"/>
        <w:ind w:left="0" w:leftChars="0" w:firstLine="640" w:firstLineChars="200"/>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评标委员会应在经济标计分评审前，按照《新疆维吾尔自治区房屋建筑和市政基础设施工程施工投标报价合理性评审</w:t>
      </w:r>
      <w:r>
        <w:rPr>
          <w:rFonts w:hint="eastAsia" w:ascii="仿宋" w:hAnsi="仿宋" w:eastAsia="仿宋" w:cs="仿宋"/>
          <w:color w:val="auto"/>
          <w:sz w:val="32"/>
          <w:szCs w:val="32"/>
          <w:highlight w:val="none"/>
          <w:lang w:val="en-US" w:eastAsia="zh-CN"/>
        </w:rPr>
        <w:t>规则（</w:t>
      </w:r>
      <w:r>
        <w:rPr>
          <w:rFonts w:hint="eastAsia" w:ascii="仿宋" w:hAnsi="仿宋" w:eastAsia="仿宋" w:cs="仿宋"/>
          <w:color w:val="auto"/>
          <w:sz w:val="32"/>
          <w:szCs w:val="32"/>
          <w:highlight w:val="none"/>
        </w:rPr>
        <w:t>暂行</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》对各投标报价进行报价合理性评审。</w:t>
      </w:r>
      <w:r>
        <w:rPr>
          <w:rFonts w:hint="eastAsia" w:ascii="仿宋" w:hAnsi="仿宋" w:eastAsia="仿宋" w:cs="仿宋"/>
          <w:color w:val="auto"/>
          <w:sz w:val="32"/>
          <w:szCs w:val="32"/>
          <w:highlight w:val="none"/>
          <w:lang w:val="en-US" w:eastAsia="zh-CN"/>
        </w:rPr>
        <w:t>通过报价合理性评审的投标人进入合理低价评定。</w:t>
      </w:r>
    </w:p>
    <w:p>
      <w:pPr>
        <w:pStyle w:val="7"/>
        <w:spacing w:line="540" w:lineRule="exact"/>
        <w:ind w:firstLine="729" w:firstLineChars="228"/>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2.2 合理低价评定</w:t>
      </w:r>
    </w:p>
    <w:p>
      <w:pPr>
        <w:pStyle w:val="7"/>
        <w:spacing w:line="540" w:lineRule="exact"/>
        <w:ind w:firstLine="729" w:firstLineChars="228"/>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2.2.1 </w:t>
      </w:r>
      <w:r>
        <w:rPr>
          <w:rFonts w:hint="eastAsia" w:ascii="仿宋" w:hAnsi="仿宋" w:eastAsia="仿宋" w:cs="仿宋"/>
          <w:sz w:val="32"/>
          <w:szCs w:val="32"/>
          <w:highlight w:val="none"/>
        </w:rPr>
        <w:t>报价修正</w:t>
      </w:r>
    </w:p>
    <w:p>
      <w:pPr>
        <w:pStyle w:val="30"/>
        <w:ind w:firstLine="640" w:firstLineChars="200"/>
        <w:rPr>
          <w:rFonts w:ascii="Times New Roman" w:hAnsi="Times New Roman" w:eastAsia="仿宋" w:cs="Times New Roman"/>
          <w:sz w:val="32"/>
          <w:szCs w:val="32"/>
          <w:highlight w:val="none"/>
        </w:rPr>
      </w:pPr>
      <w:r>
        <w:rPr>
          <w:rFonts w:ascii="Times New Roman" w:hAnsi="仿宋" w:eastAsia="仿宋" w:cs="Times New Roman"/>
          <w:sz w:val="32"/>
          <w:szCs w:val="32"/>
          <w:highlight w:val="none"/>
        </w:rPr>
        <w:t>评标委员会对清标中发现投标报价存在算术性错误的，应按以下原则对投标报价进行修正：</w:t>
      </w:r>
    </w:p>
    <w:p>
      <w:pPr>
        <w:pStyle w:val="3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一是</w:t>
      </w:r>
      <w:r>
        <w:rPr>
          <w:rFonts w:ascii="Times New Roman" w:hAnsi="仿宋" w:eastAsia="仿宋" w:cs="Times New Roman"/>
          <w:sz w:val="32"/>
          <w:szCs w:val="32"/>
          <w:highlight w:val="none"/>
        </w:rPr>
        <w:t>当综合单价与工程量（或计算基础金额与费率）的乘积与合价不一致时，以综合单价（或费率）为准修正合价及总价；</w:t>
      </w:r>
    </w:p>
    <w:p>
      <w:pPr>
        <w:pStyle w:val="30"/>
        <w:ind w:firstLine="640" w:firstLineChars="200"/>
        <w:rPr>
          <w:rFonts w:ascii="Times New Roman" w:hAnsi="Times New Roman" w:eastAsia="仿宋" w:cs="Times New Roman"/>
          <w:sz w:val="32"/>
          <w:szCs w:val="32"/>
          <w:highlight w:val="none"/>
        </w:rPr>
      </w:pPr>
      <w:r>
        <w:rPr>
          <w:rFonts w:hint="eastAsia" w:ascii="Times New Roman" w:hAnsi="仿宋" w:eastAsia="仿宋" w:cs="Times New Roman"/>
          <w:sz w:val="32"/>
          <w:szCs w:val="32"/>
          <w:highlight w:val="none"/>
          <w:lang w:val="en-US" w:eastAsia="zh-CN"/>
        </w:rPr>
        <w:t>二是</w:t>
      </w:r>
      <w:r>
        <w:rPr>
          <w:rFonts w:ascii="Times New Roman" w:hAnsi="仿宋" w:eastAsia="仿宋" w:cs="Times New Roman"/>
          <w:sz w:val="32"/>
          <w:szCs w:val="32"/>
          <w:highlight w:val="none"/>
        </w:rPr>
        <w:t>当各单项金额相加与其合计金额不一致时，以各单项金额为准修正相应合计金额及总价。</w:t>
      </w:r>
    </w:p>
    <w:p>
      <w:pPr>
        <w:pStyle w:val="7"/>
        <w:spacing w:line="540" w:lineRule="exact"/>
        <w:ind w:firstLine="729" w:firstLineChars="228"/>
        <w:rPr>
          <w:rFonts w:hint="default" w:ascii="Times New Roman" w:hAnsi="仿宋" w:eastAsia="仿宋" w:cs="Times New Roman"/>
          <w:sz w:val="32"/>
          <w:szCs w:val="32"/>
          <w:highlight w:val="none"/>
          <w:lang w:val="en-US" w:eastAsia="zh-CN"/>
        </w:rPr>
      </w:pPr>
      <w:r>
        <w:rPr>
          <w:rFonts w:ascii="Times New Roman" w:hAnsi="仿宋" w:eastAsia="仿宋" w:cs="Times New Roman"/>
          <w:sz w:val="32"/>
          <w:szCs w:val="32"/>
          <w:highlight w:val="none"/>
        </w:rPr>
        <w:t>评标委员会修正后的价格经投标人书面确认后具有约束力</w:t>
      </w:r>
      <w:r>
        <w:rPr>
          <w:rFonts w:hint="eastAsia" w:ascii="Times New Roman" w:hAnsi="仿宋" w:eastAsia="仿宋" w:cs="Times New Roman"/>
          <w:sz w:val="32"/>
          <w:szCs w:val="32"/>
          <w:highlight w:val="none"/>
          <w:lang w:eastAsia="zh-CN"/>
        </w:rPr>
        <w:t>，</w:t>
      </w:r>
      <w:r>
        <w:rPr>
          <w:rFonts w:hint="eastAsia" w:ascii="Times New Roman" w:hAnsi="仿宋" w:eastAsia="仿宋" w:cs="Times New Roman"/>
          <w:sz w:val="32"/>
          <w:szCs w:val="32"/>
          <w:highlight w:val="none"/>
          <w:lang w:val="en-US" w:eastAsia="zh-CN"/>
        </w:rPr>
        <w:t>合理低价评定计算以修正后的报价为准（以后所称投标报价均为修正后的报价）</w:t>
      </w:r>
      <w:r>
        <w:rPr>
          <w:rFonts w:ascii="Times New Roman" w:hAnsi="仿宋" w:eastAsia="仿宋" w:cs="Times New Roman"/>
          <w:sz w:val="32"/>
          <w:szCs w:val="32"/>
          <w:highlight w:val="none"/>
        </w:rPr>
        <w:t>。投标人不接受修正价格或修正后价格高于招标控制价的，评标委员会应否决其投标。</w:t>
      </w:r>
    </w:p>
    <w:p>
      <w:pPr>
        <w:pStyle w:val="7"/>
        <w:spacing w:line="54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 xml:space="preserve">2.2.2 </w:t>
      </w:r>
      <w:r>
        <w:rPr>
          <w:rFonts w:hint="eastAsia" w:ascii="仿宋" w:hAnsi="仿宋" w:eastAsia="仿宋" w:cs="仿宋"/>
          <w:b w:val="0"/>
          <w:bCs/>
          <w:sz w:val="32"/>
          <w:szCs w:val="32"/>
          <w:highlight w:val="none"/>
        </w:rPr>
        <w:t>确定投标报价有效范围</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通过初步评审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技术标</w:t>
      </w:r>
      <w:r>
        <w:rPr>
          <w:rFonts w:hint="eastAsia" w:ascii="仿宋" w:hAnsi="仿宋" w:eastAsia="仿宋" w:cs="仿宋"/>
          <w:sz w:val="32"/>
          <w:szCs w:val="32"/>
          <w:highlight w:val="none"/>
        </w:rPr>
        <w:t>评审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报价合理性评审</w:t>
      </w:r>
      <w:r>
        <w:rPr>
          <w:rFonts w:hint="eastAsia" w:ascii="仿宋" w:hAnsi="仿宋" w:eastAsia="仿宋" w:cs="仿宋"/>
          <w:sz w:val="32"/>
          <w:szCs w:val="32"/>
          <w:highlight w:val="none"/>
        </w:rPr>
        <w:t>的投标</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报价参与确定投标报价有效范围。</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2.2.2.1 </w:t>
      </w:r>
      <w:r>
        <w:rPr>
          <w:rFonts w:hint="eastAsia" w:ascii="仿宋" w:hAnsi="仿宋" w:eastAsia="仿宋" w:cs="仿宋"/>
          <w:sz w:val="32"/>
          <w:szCs w:val="32"/>
          <w:highlight w:val="none"/>
        </w:rPr>
        <w:t>计算报价均值：</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投标企业少于5家（不含）直接取算术平均值；</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大于5家（含）时去掉总家数20%高价（四舍五入取整）和总家数20%低价（四舍五入取整）后的取算术平均值。</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2.2.2.2 </w:t>
      </w:r>
      <w:r>
        <w:rPr>
          <w:rFonts w:hint="eastAsia" w:ascii="仿宋" w:hAnsi="仿宋" w:eastAsia="仿宋" w:cs="仿宋"/>
          <w:sz w:val="32"/>
          <w:szCs w:val="32"/>
          <w:highlight w:val="none"/>
        </w:rPr>
        <w:t>基准价计算取值范围：</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房屋建筑工程（不包含单独招标的安装工程和装饰装修工程）的报价取值范围为报价均值的93％至103％(含)</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其它工程投标报价取值范围为报价均值的90％至105％（含）。</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2.2.2.3 </w:t>
      </w:r>
      <w:r>
        <w:rPr>
          <w:rFonts w:hint="eastAsia" w:ascii="仿宋" w:hAnsi="仿宋" w:eastAsia="仿宋" w:cs="仿宋"/>
          <w:sz w:val="32"/>
          <w:szCs w:val="32"/>
          <w:highlight w:val="none"/>
        </w:rPr>
        <w:t>超出报价取值范围的投标文件不进入评标基准价计算，但正常计算经济标得分进行排名。</w:t>
      </w:r>
    </w:p>
    <w:p>
      <w:pPr>
        <w:pStyle w:val="7"/>
        <w:spacing w:line="54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 xml:space="preserve">2.2.3 </w:t>
      </w:r>
      <w:r>
        <w:rPr>
          <w:rFonts w:hint="eastAsia" w:ascii="仿宋" w:hAnsi="仿宋" w:eastAsia="仿宋" w:cs="仿宋"/>
          <w:b w:val="0"/>
          <w:bCs/>
          <w:sz w:val="32"/>
          <w:szCs w:val="32"/>
          <w:highlight w:val="none"/>
        </w:rPr>
        <w:t>计算评标基准价</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评标基准价=[(招标控制价-暂列金额-专业工程暂估价-甲供材料费)×（1-K）+暂列金额+专业工程暂估价+甲供材料费]×K1+投标报价有效范围内报价算数平均值×（1-K1）×（1-K2）。</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K为评标基准价中控制价可竞争部分的下浮率，由招标人在经济标评审前，随机抽取确定。</w:t>
      </w:r>
    </w:p>
    <w:p>
      <w:pPr>
        <w:pStyle w:val="7"/>
        <w:spacing w:line="540" w:lineRule="exact"/>
        <w:ind w:left="0" w:leftChars="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K值取值建议：房屋建筑工程0%</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5%;单独招标的安装工程和装饰装修工程0%</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8%;市政和园林绿化工程0%</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10%。以上均以1%为间隔。</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K1为评标基准价中控制价权重，由招标人在经济标评审前，随机抽取确定。K1取值范围30%</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70%，以10%为间隔。</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K2为随机下浮率，由招标人在经济标评审前，随机抽取确定。K2的取值范围1%</w:t>
      </w:r>
      <w:r>
        <w:rPr>
          <w:rFonts w:hint="eastAsia" w:ascii="微软雅黑" w:hAnsi="微软雅黑" w:eastAsia="微软雅黑" w:cs="微软雅黑"/>
          <w:sz w:val="32"/>
          <w:szCs w:val="32"/>
          <w:highlight w:val="none"/>
        </w:rPr>
        <w:t>～</w:t>
      </w:r>
      <w:r>
        <w:rPr>
          <w:rFonts w:hint="eastAsia" w:ascii="仿宋" w:hAnsi="仿宋" w:eastAsia="仿宋" w:cs="仿宋"/>
          <w:sz w:val="32"/>
          <w:szCs w:val="32"/>
          <w:highlight w:val="none"/>
        </w:rPr>
        <w:t>4%，以1%为间隔。</w:t>
      </w:r>
    </w:p>
    <w:p>
      <w:pPr>
        <w:pStyle w:val="7"/>
        <w:spacing w:line="54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三、推荐中标候选</w:t>
      </w:r>
      <w:r>
        <w:rPr>
          <w:rFonts w:hint="eastAsia" w:ascii="黑体" w:hAnsi="黑体" w:eastAsia="黑体" w:cs="黑体"/>
          <w:sz w:val="32"/>
          <w:szCs w:val="32"/>
          <w:highlight w:val="none"/>
        </w:rPr>
        <w:t>人</w:t>
      </w:r>
    </w:p>
    <w:p>
      <w:pPr>
        <w:pStyle w:val="7"/>
        <w:spacing w:line="54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投标报价高于</w:t>
      </w:r>
      <w:r>
        <w:rPr>
          <w:rFonts w:hint="eastAsia" w:ascii="仿宋" w:hAnsi="仿宋" w:eastAsia="仿宋" w:cs="仿宋"/>
          <w:b w:val="0"/>
          <w:bCs/>
          <w:sz w:val="32"/>
          <w:szCs w:val="32"/>
          <w:highlight w:val="none"/>
        </w:rPr>
        <w:t>评标基准价</w:t>
      </w:r>
      <w:r>
        <w:rPr>
          <w:rFonts w:hint="eastAsia" w:ascii="仿宋" w:hAnsi="仿宋" w:eastAsia="仿宋" w:cs="仿宋"/>
          <w:sz w:val="32"/>
          <w:szCs w:val="32"/>
          <w:highlight w:val="none"/>
        </w:rPr>
        <w:t>的报价为有效报价。在此有效报价范围内，按照投标报价由低到高对投标</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进行排序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推荐不超过3个有排序的中标候选人，招标人按照中标候选人的排序确定中标人。</w:t>
      </w: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440" w:lineRule="exact"/>
        <w:jc w:val="left"/>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附表2-</w:t>
      </w:r>
      <w:r>
        <w:rPr>
          <w:rFonts w:hint="eastAsia" w:ascii="仿宋" w:hAnsi="仿宋" w:eastAsia="仿宋" w:cs="仿宋"/>
          <w:b/>
          <w:bCs/>
          <w:sz w:val="32"/>
          <w:szCs w:val="32"/>
          <w:highlight w:val="none"/>
          <w:lang w:val="en-US" w:eastAsia="zh-CN"/>
        </w:rPr>
        <w:t>1</w:t>
      </w:r>
    </w:p>
    <w:p>
      <w:pPr>
        <w:jc w:val="center"/>
        <w:rPr>
          <w:rFonts w:hint="eastAsia" w:ascii="宋体" w:hAnsi="宋体"/>
          <w:sz w:val="44"/>
          <w:szCs w:val="44"/>
          <w:highlight w:val="none"/>
        </w:rPr>
      </w:pPr>
      <w:r>
        <w:rPr>
          <w:rFonts w:hint="eastAsia" w:ascii="宋体" w:hAnsi="宋体" w:eastAsia="宋体" w:cs="宋体"/>
          <w:b/>
          <w:bCs w:val="0"/>
          <w:sz w:val="44"/>
          <w:szCs w:val="44"/>
          <w:highlight w:val="none"/>
        </w:rPr>
        <w:t>投标报价有效范围计算表</w:t>
      </w:r>
    </w:p>
    <w:p>
      <w:pPr>
        <w:rPr>
          <w:rFonts w:ascii="宋体" w:hAnsi="宋体" w:cs="宋体"/>
          <w:sz w:val="24"/>
          <w:highlight w:val="none"/>
        </w:rPr>
      </w:pPr>
      <w:r>
        <w:rPr>
          <w:rFonts w:hint="eastAsia" w:ascii="宋体" w:hAnsi="宋体" w:eastAsia="宋体" w:cs="宋体"/>
          <w:b/>
          <w:bCs/>
          <w:color w:val="000000"/>
          <w:kern w:val="0"/>
          <w:sz w:val="24"/>
          <w:highlight w:val="none"/>
          <w:lang w:val="en-US" w:eastAsia="zh-CN" w:bidi="ar"/>
        </w:rPr>
        <w:t>项目</w:t>
      </w:r>
      <w:r>
        <w:rPr>
          <w:rFonts w:hint="eastAsia" w:ascii="宋体" w:hAnsi="宋体" w:eastAsia="宋体" w:cs="宋体"/>
          <w:b/>
          <w:bCs/>
          <w:color w:val="000000"/>
          <w:kern w:val="0"/>
          <w:sz w:val="24"/>
          <w:highlight w:val="none"/>
          <w:lang w:bidi="ar"/>
        </w:rPr>
        <w:t>名称：</w:t>
      </w:r>
    </w:p>
    <w:tbl>
      <w:tblPr>
        <w:tblStyle w:val="15"/>
        <w:tblW w:w="14520" w:type="dxa"/>
        <w:tblInd w:w="93" w:type="dxa"/>
        <w:shd w:val="clear" w:color="auto" w:fill="auto"/>
        <w:tblLayout w:type="fixed"/>
        <w:tblCellMar>
          <w:top w:w="0" w:type="dxa"/>
          <w:left w:w="108" w:type="dxa"/>
          <w:bottom w:w="0" w:type="dxa"/>
          <w:right w:w="108" w:type="dxa"/>
        </w:tblCellMar>
      </w:tblPr>
      <w:tblGrid>
        <w:gridCol w:w="2959"/>
        <w:gridCol w:w="1603"/>
        <w:gridCol w:w="1618"/>
        <w:gridCol w:w="1400"/>
        <w:gridCol w:w="1340"/>
        <w:gridCol w:w="1420"/>
        <w:gridCol w:w="1320"/>
        <w:gridCol w:w="1420"/>
        <w:gridCol w:w="1440"/>
      </w:tblGrid>
      <w:tr>
        <w:tblPrEx>
          <w:shd w:val="clear" w:color="auto" w:fill="auto"/>
          <w:tblCellMar>
            <w:top w:w="0" w:type="dxa"/>
            <w:left w:w="108" w:type="dxa"/>
            <w:bottom w:w="0" w:type="dxa"/>
            <w:right w:w="108" w:type="dxa"/>
          </w:tblCellMar>
        </w:tblPrEx>
        <w:trPr>
          <w:trHeight w:val="446" w:hRule="atLeast"/>
        </w:trPr>
        <w:tc>
          <w:tcPr>
            <w:tcW w:w="2959" w:type="dxa"/>
            <w:tcBorders>
              <w:top w:val="single" w:color="auto" w:sz="8" w:space="0"/>
              <w:left w:val="single" w:color="auto" w:sz="8" w:space="0"/>
              <w:bottom w:val="single" w:color="auto" w:sz="4" w:space="0"/>
              <w:right w:val="single" w:color="auto" w:sz="4" w:space="0"/>
              <w:tl2br w:val="single" w:color="auto" w:sz="4" w:space="0"/>
            </w:tcBorders>
            <w:shd w:val="clear" w:color="auto" w:fill="auto"/>
            <w:noWrap w:val="0"/>
            <w:vAlign w:val="bottom"/>
          </w:tcPr>
          <w:p>
            <w:pPr>
              <w:widowControl/>
              <w:jc w:val="center"/>
              <w:rPr>
                <w:rFonts w:ascii="宋体" w:hAnsi="宋体" w:cs="宋体"/>
                <w:bCs/>
                <w:kern w:val="0"/>
                <w:sz w:val="21"/>
                <w:szCs w:val="21"/>
                <w:highlight w:val="none"/>
              </w:rPr>
            </w:pPr>
            <w:r>
              <w:rPr>
                <w:rFonts w:hint="eastAsia" w:ascii="宋体" w:hAnsi="宋体" w:cs="宋体"/>
                <w:bCs/>
                <w:kern w:val="0"/>
                <w:sz w:val="21"/>
                <w:szCs w:val="21"/>
                <w:highlight w:val="none"/>
              </w:rPr>
              <w:t xml:space="preserve">          </w:t>
            </w:r>
            <w:r>
              <w:rPr>
                <w:rFonts w:hint="eastAsia" w:ascii="宋体" w:hAnsi="宋体" w:eastAsia="宋体" w:cs="宋体"/>
                <w:color w:val="000000"/>
                <w:kern w:val="0"/>
                <w:sz w:val="24"/>
                <w:highlight w:val="none"/>
                <w:lang w:bidi="ar"/>
              </w:rPr>
              <w:t xml:space="preserve"> </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投标单位</w:t>
            </w:r>
            <w:r>
              <w:rPr>
                <w:rFonts w:hint="eastAsia" w:ascii="宋体" w:hAnsi="宋体" w:eastAsia="宋体" w:cs="宋体"/>
                <w:color w:val="000000"/>
                <w:kern w:val="0"/>
                <w:sz w:val="24"/>
                <w:highlight w:val="none"/>
                <w:lang w:bidi="ar"/>
              </w:rPr>
              <w:br w:type="textWrapping"/>
            </w:r>
            <w:r>
              <w:rPr>
                <w:rFonts w:hint="eastAsia" w:ascii="宋体" w:hAnsi="宋体" w:eastAsia="宋体" w:cs="宋体"/>
                <w:color w:val="000000"/>
                <w:kern w:val="0"/>
                <w:sz w:val="24"/>
                <w:highlight w:val="none"/>
                <w:lang w:bidi="ar"/>
              </w:rPr>
              <w:t xml:space="preserve"> 内容</w:t>
            </w:r>
          </w:p>
        </w:tc>
        <w:tc>
          <w:tcPr>
            <w:tcW w:w="1603" w:type="dxa"/>
            <w:tcBorders>
              <w:top w:val="single" w:color="auto" w:sz="8"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val="en-US" w:eastAsia="zh-CN" w:bidi="ar"/>
              </w:rPr>
              <w:t>投标人1</w:t>
            </w:r>
          </w:p>
        </w:tc>
        <w:tc>
          <w:tcPr>
            <w:tcW w:w="1618" w:type="dxa"/>
            <w:tcBorders>
              <w:top w:val="single" w:color="auto" w:sz="8"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投标人</w:t>
            </w:r>
            <w:r>
              <w:rPr>
                <w:rFonts w:hint="eastAsia" w:ascii="宋体" w:hAnsi="宋体" w:eastAsia="宋体" w:cs="宋体"/>
                <w:color w:val="000000"/>
                <w:kern w:val="0"/>
                <w:sz w:val="24"/>
                <w:highlight w:val="none"/>
                <w:lang w:val="en-US" w:eastAsia="zh-CN" w:bidi="ar"/>
              </w:rPr>
              <w:t>2</w:t>
            </w:r>
          </w:p>
        </w:tc>
        <w:tc>
          <w:tcPr>
            <w:tcW w:w="140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rPr>
              <w:t>……</w:t>
            </w:r>
          </w:p>
        </w:tc>
        <w:tc>
          <w:tcPr>
            <w:tcW w:w="134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42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32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42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44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1"/>
                <w:szCs w:val="21"/>
                <w:highlight w:val="none"/>
              </w:rPr>
            </w:pPr>
          </w:p>
        </w:tc>
      </w:tr>
      <w:tr>
        <w:tblPrEx>
          <w:shd w:val="clear" w:color="auto" w:fill="auto"/>
          <w:tblCellMar>
            <w:top w:w="0" w:type="dxa"/>
            <w:left w:w="108" w:type="dxa"/>
            <w:bottom w:w="0" w:type="dxa"/>
            <w:right w:w="108" w:type="dxa"/>
          </w:tblCellMar>
        </w:tblPrEx>
        <w:trPr>
          <w:trHeight w:val="522" w:hRule="atLeast"/>
        </w:trPr>
        <w:tc>
          <w:tcPr>
            <w:tcW w:w="295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1"/>
                <w:szCs w:val="21"/>
                <w:highlight w:val="none"/>
              </w:rPr>
            </w:pPr>
            <w:r>
              <w:rPr>
                <w:rFonts w:hint="eastAsia" w:ascii="宋体" w:hAnsi="宋体" w:eastAsia="宋体" w:cs="宋体"/>
                <w:color w:val="000000"/>
                <w:kern w:val="0"/>
                <w:sz w:val="24"/>
                <w:highlight w:val="none"/>
                <w:lang w:val="en-US" w:eastAsia="zh-CN" w:bidi="ar"/>
              </w:rPr>
              <w:t>投标报价</w:t>
            </w:r>
          </w:p>
        </w:tc>
        <w:tc>
          <w:tcPr>
            <w:tcW w:w="16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highlight w:val="none"/>
              </w:rPr>
            </w:pPr>
          </w:p>
        </w:tc>
        <w:tc>
          <w:tcPr>
            <w:tcW w:w="1440"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1"/>
                <w:szCs w:val="21"/>
                <w:highlight w:val="none"/>
              </w:rPr>
            </w:pPr>
          </w:p>
        </w:tc>
      </w:tr>
      <w:tr>
        <w:tblPrEx>
          <w:shd w:val="clear" w:color="auto" w:fill="auto"/>
          <w:tblCellMar>
            <w:top w:w="0" w:type="dxa"/>
            <w:left w:w="108" w:type="dxa"/>
            <w:bottom w:w="0" w:type="dxa"/>
            <w:right w:w="108" w:type="dxa"/>
          </w:tblCellMar>
        </w:tblPrEx>
        <w:trPr>
          <w:trHeight w:val="522" w:hRule="atLeast"/>
        </w:trPr>
        <w:tc>
          <w:tcPr>
            <w:tcW w:w="2959"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投标人的报价均值：</w:t>
            </w:r>
          </w:p>
          <w:p>
            <w:pPr>
              <w:widowControl/>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投标企业少于5家（不含）直接取算术平均值；大于5家（含）时去掉总家数20%高价（四舍五入取整）和总家数20%低价（四舍五入取整）后的取算术平均值</w:t>
            </w:r>
          </w:p>
        </w:tc>
        <w:tc>
          <w:tcPr>
            <w:tcW w:w="11561" w:type="dxa"/>
            <w:gridSpan w:val="8"/>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hint="eastAsia" w:ascii="宋体" w:hAnsi="宋体" w:cs="宋体"/>
                <w:kern w:val="0"/>
                <w:sz w:val="21"/>
                <w:szCs w:val="21"/>
                <w:highlight w:val="none"/>
              </w:rPr>
            </w:pPr>
          </w:p>
        </w:tc>
      </w:tr>
      <w:tr>
        <w:tblPrEx>
          <w:shd w:val="clear" w:color="auto" w:fill="auto"/>
          <w:tblCellMar>
            <w:top w:w="0" w:type="dxa"/>
            <w:left w:w="108" w:type="dxa"/>
            <w:bottom w:w="0" w:type="dxa"/>
            <w:right w:w="108" w:type="dxa"/>
          </w:tblCellMar>
        </w:tblPrEx>
        <w:trPr>
          <w:trHeight w:val="1113" w:hRule="atLeast"/>
        </w:trPr>
        <w:tc>
          <w:tcPr>
            <w:tcW w:w="2959" w:type="dxa"/>
            <w:vMerge w:val="restart"/>
            <w:tcBorders>
              <w:top w:val="single" w:color="auto" w:sz="4" w:space="0"/>
              <w:left w:val="single" w:color="auto" w:sz="8"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基准价计算取值范围：</w:t>
            </w:r>
          </w:p>
          <w:p>
            <w:pPr>
              <w:widowControl/>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房屋建筑工程（不包含单独招标的安装工程和装饰装修工程）的报价取值范围为报价均值的93％至103％(含)；其它工程投标报价取值范围为报价均值的90％至105％（含）</w:t>
            </w:r>
          </w:p>
        </w:tc>
        <w:tc>
          <w:tcPr>
            <w:tcW w:w="32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上限百分比</w:t>
            </w:r>
          </w:p>
        </w:tc>
        <w:tc>
          <w:tcPr>
            <w:tcW w:w="2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1"/>
                <w:szCs w:val="21"/>
                <w:highlight w:val="none"/>
              </w:rPr>
            </w:pPr>
          </w:p>
        </w:tc>
        <w:tc>
          <w:tcPr>
            <w:tcW w:w="2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下限百分比</w:t>
            </w:r>
          </w:p>
        </w:tc>
        <w:tc>
          <w:tcPr>
            <w:tcW w:w="2860" w:type="dxa"/>
            <w:gridSpan w:val="2"/>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hint="eastAsia" w:ascii="宋体" w:hAnsi="宋体" w:cs="宋体"/>
                <w:kern w:val="0"/>
                <w:sz w:val="21"/>
                <w:szCs w:val="21"/>
                <w:highlight w:val="none"/>
              </w:rPr>
            </w:pPr>
          </w:p>
        </w:tc>
      </w:tr>
      <w:tr>
        <w:tblPrEx>
          <w:tblCellMar>
            <w:top w:w="0" w:type="dxa"/>
            <w:left w:w="108" w:type="dxa"/>
            <w:bottom w:w="0" w:type="dxa"/>
            <w:right w:w="108" w:type="dxa"/>
          </w:tblCellMar>
        </w:tblPrEx>
        <w:trPr>
          <w:trHeight w:val="1151" w:hRule="atLeast"/>
        </w:trPr>
        <w:tc>
          <w:tcPr>
            <w:tcW w:w="2959" w:type="dxa"/>
            <w:vMerge w:val="continue"/>
            <w:tcBorders>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1"/>
                <w:szCs w:val="21"/>
                <w:highlight w:val="none"/>
                <w:lang w:val="en-US" w:eastAsia="zh-CN"/>
              </w:rPr>
            </w:pPr>
          </w:p>
        </w:tc>
        <w:tc>
          <w:tcPr>
            <w:tcW w:w="322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投标报价上限取值=投标人的报价均值×上限百分比</w:t>
            </w:r>
          </w:p>
        </w:tc>
        <w:tc>
          <w:tcPr>
            <w:tcW w:w="2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1"/>
                <w:szCs w:val="21"/>
                <w:highlight w:val="none"/>
              </w:rPr>
            </w:pPr>
          </w:p>
        </w:tc>
        <w:tc>
          <w:tcPr>
            <w:tcW w:w="27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投标报价下限取值=投标人的报价均值×下限百分比</w:t>
            </w:r>
          </w:p>
        </w:tc>
        <w:tc>
          <w:tcPr>
            <w:tcW w:w="2860" w:type="dxa"/>
            <w:gridSpan w:val="2"/>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hint="eastAsia" w:ascii="宋体" w:hAnsi="宋体" w:cs="宋体"/>
                <w:kern w:val="0"/>
                <w:sz w:val="21"/>
                <w:szCs w:val="21"/>
                <w:highlight w:val="none"/>
              </w:rPr>
            </w:pPr>
          </w:p>
        </w:tc>
      </w:tr>
      <w:tr>
        <w:tblPrEx>
          <w:shd w:val="clear" w:color="auto" w:fill="auto"/>
          <w:tblCellMar>
            <w:top w:w="0" w:type="dxa"/>
            <w:left w:w="108" w:type="dxa"/>
            <w:bottom w:w="0" w:type="dxa"/>
            <w:right w:w="108" w:type="dxa"/>
          </w:tblCellMar>
        </w:tblPrEx>
        <w:trPr>
          <w:trHeight w:val="749" w:hRule="atLeast"/>
        </w:trPr>
        <w:tc>
          <w:tcPr>
            <w:tcW w:w="2959" w:type="dxa"/>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hint="eastAsia" w:ascii="宋体" w:hAnsi="宋体" w:cs="宋体"/>
                <w:kern w:val="0"/>
                <w:sz w:val="21"/>
                <w:szCs w:val="21"/>
                <w:highlight w:val="none"/>
              </w:rPr>
            </w:pPr>
            <w:r>
              <w:rPr>
                <w:rFonts w:hint="eastAsia" w:ascii="宋体" w:hAnsi="宋体" w:eastAsia="宋体" w:cs="宋体"/>
                <w:color w:val="000000"/>
                <w:kern w:val="0"/>
                <w:sz w:val="24"/>
                <w:highlight w:val="none"/>
                <w:lang w:val="en-US" w:eastAsia="zh-CN" w:bidi="ar"/>
              </w:rPr>
              <w:t>是否超出报价取值范围</w:t>
            </w:r>
          </w:p>
        </w:tc>
        <w:tc>
          <w:tcPr>
            <w:tcW w:w="160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w:t>
            </w:r>
          </w:p>
        </w:tc>
        <w:tc>
          <w:tcPr>
            <w:tcW w:w="161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w:t>
            </w:r>
          </w:p>
        </w:tc>
        <w:tc>
          <w:tcPr>
            <w:tcW w:w="14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w:t>
            </w:r>
          </w:p>
        </w:tc>
        <w:tc>
          <w:tcPr>
            <w:tcW w:w="13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w:t>
            </w:r>
          </w:p>
        </w:tc>
        <w:tc>
          <w:tcPr>
            <w:tcW w:w="1440" w:type="dxa"/>
            <w:tcBorders>
              <w:top w:val="nil"/>
              <w:left w:val="nil"/>
              <w:bottom w:val="single" w:color="auto" w:sz="4" w:space="0"/>
              <w:right w:val="single" w:color="auto" w:sz="8" w:space="0"/>
            </w:tcBorders>
            <w:shd w:val="clear" w:color="auto" w:fill="auto"/>
            <w:noWrap/>
            <w:vAlign w:val="bottom"/>
          </w:tcPr>
          <w:p>
            <w:pPr>
              <w:widowControl/>
              <w:jc w:val="left"/>
              <w:rPr>
                <w:rFonts w:ascii="宋体" w:hAnsi="宋体" w:cs="宋体"/>
                <w:kern w:val="0"/>
                <w:sz w:val="21"/>
                <w:szCs w:val="21"/>
                <w:highlight w:val="none"/>
              </w:rPr>
            </w:pPr>
            <w:r>
              <w:rPr>
                <w:rFonts w:hint="eastAsia" w:ascii="宋体" w:hAnsi="宋体" w:cs="宋体"/>
                <w:kern w:val="0"/>
                <w:sz w:val="21"/>
                <w:szCs w:val="21"/>
                <w:highlight w:val="none"/>
              </w:rPr>
              <w:t>　</w:t>
            </w:r>
          </w:p>
        </w:tc>
      </w:tr>
    </w:tbl>
    <w:p>
      <w:pPr>
        <w:spacing w:line="440" w:lineRule="exact"/>
        <w:jc w:val="left"/>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附表2-</w:t>
      </w:r>
      <w:r>
        <w:rPr>
          <w:rFonts w:hint="eastAsia" w:ascii="仿宋" w:hAnsi="仿宋" w:eastAsia="仿宋" w:cs="仿宋"/>
          <w:b/>
          <w:bCs/>
          <w:sz w:val="32"/>
          <w:szCs w:val="32"/>
          <w:highlight w:val="none"/>
          <w:lang w:val="en-US" w:eastAsia="zh-CN"/>
        </w:rPr>
        <w:t>2</w:t>
      </w:r>
    </w:p>
    <w:tbl>
      <w:tblPr>
        <w:tblStyle w:val="15"/>
        <w:tblW w:w="13754" w:type="dxa"/>
        <w:tblInd w:w="0" w:type="dxa"/>
        <w:tblLayout w:type="fixed"/>
        <w:tblCellMar>
          <w:top w:w="0" w:type="dxa"/>
          <w:left w:w="0" w:type="dxa"/>
          <w:bottom w:w="0" w:type="dxa"/>
          <w:right w:w="0" w:type="dxa"/>
        </w:tblCellMar>
      </w:tblPr>
      <w:tblGrid>
        <w:gridCol w:w="4638"/>
        <w:gridCol w:w="2235"/>
        <w:gridCol w:w="2330"/>
        <w:gridCol w:w="2203"/>
        <w:gridCol w:w="2348"/>
      </w:tblGrid>
      <w:tr>
        <w:tblPrEx>
          <w:tblCellMar>
            <w:top w:w="0" w:type="dxa"/>
            <w:left w:w="0" w:type="dxa"/>
            <w:bottom w:w="0" w:type="dxa"/>
            <w:right w:w="0" w:type="dxa"/>
          </w:tblCellMar>
        </w:tblPrEx>
        <w:trPr>
          <w:trHeight w:val="617" w:hRule="atLeast"/>
        </w:trPr>
        <w:tc>
          <w:tcPr>
            <w:tcW w:w="13754"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40"/>
                <w:szCs w:val="40"/>
                <w:highlight w:val="none"/>
              </w:rPr>
            </w:pPr>
            <w:r>
              <w:rPr>
                <w:rFonts w:hint="eastAsia" w:ascii="宋体" w:hAnsi="宋体" w:eastAsia="宋体" w:cs="宋体"/>
                <w:b/>
                <w:color w:val="000000"/>
                <w:kern w:val="0"/>
                <w:sz w:val="44"/>
                <w:szCs w:val="44"/>
                <w:highlight w:val="none"/>
                <w:lang w:bidi="ar"/>
              </w:rPr>
              <w:t>经评审合理低价法经济标基准价计算表</w:t>
            </w:r>
          </w:p>
        </w:tc>
      </w:tr>
      <w:tr>
        <w:tblPrEx>
          <w:tblCellMar>
            <w:top w:w="0" w:type="dxa"/>
            <w:left w:w="0" w:type="dxa"/>
            <w:bottom w:w="0" w:type="dxa"/>
            <w:right w:w="0" w:type="dxa"/>
          </w:tblCellMar>
        </w:tblPrEx>
        <w:trPr>
          <w:trHeight w:val="270" w:hRule="atLeast"/>
        </w:trPr>
        <w:tc>
          <w:tcPr>
            <w:tcW w:w="4638"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val="0"/>
                <w:bCs/>
                <w:color w:val="000000"/>
                <w:sz w:val="21"/>
                <w:szCs w:val="21"/>
                <w:highlight w:val="none"/>
              </w:rPr>
            </w:pPr>
            <w:r>
              <w:rPr>
                <w:rFonts w:hint="eastAsia" w:ascii="宋体" w:hAnsi="宋体" w:eastAsia="宋体" w:cs="宋体"/>
                <w:b/>
                <w:bCs/>
                <w:color w:val="000000"/>
                <w:kern w:val="0"/>
                <w:sz w:val="24"/>
                <w:highlight w:val="none"/>
                <w:lang w:bidi="ar"/>
              </w:rPr>
              <w:t>项目名称：</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b w:val="0"/>
                <w:bCs/>
                <w:color w:val="000000"/>
                <w:sz w:val="21"/>
                <w:szCs w:val="21"/>
                <w:highlight w:val="none"/>
                <w:lang w:val="en-US" w:eastAsia="zh-CN"/>
              </w:rPr>
            </w:pPr>
          </w:p>
        </w:tc>
        <w:tc>
          <w:tcPr>
            <w:tcW w:w="6881" w:type="dxa"/>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b w:val="0"/>
                <w:bCs/>
                <w:color w:val="000000"/>
                <w:sz w:val="21"/>
                <w:szCs w:val="21"/>
                <w:highlight w:val="none"/>
              </w:rPr>
            </w:pPr>
          </w:p>
        </w:tc>
      </w:tr>
      <w:tr>
        <w:tblPrEx>
          <w:tblCellMar>
            <w:top w:w="0" w:type="dxa"/>
            <w:left w:w="0" w:type="dxa"/>
            <w:bottom w:w="0" w:type="dxa"/>
            <w:right w:w="0" w:type="dxa"/>
          </w:tblCellMar>
        </w:tblPrEx>
        <w:trPr>
          <w:trHeight w:val="285" w:hRule="atLeast"/>
        </w:trPr>
        <w:tc>
          <w:tcPr>
            <w:tcW w:w="137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招标控制价部分</w:t>
            </w:r>
          </w:p>
        </w:tc>
      </w:tr>
      <w:tr>
        <w:tblPrEx>
          <w:tblCellMar>
            <w:top w:w="0" w:type="dxa"/>
            <w:left w:w="0" w:type="dxa"/>
            <w:bottom w:w="0" w:type="dxa"/>
            <w:right w:w="0" w:type="dxa"/>
          </w:tblCellMar>
        </w:tblPrEx>
        <w:trPr>
          <w:trHeight w:val="400" w:hRule="atLeast"/>
        </w:trPr>
        <w:tc>
          <w:tcPr>
            <w:tcW w:w="4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招标控制价</w:t>
            </w:r>
          </w:p>
        </w:tc>
        <w:tc>
          <w:tcPr>
            <w:tcW w:w="91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p>
        </w:tc>
      </w:tr>
      <w:tr>
        <w:tblPrEx>
          <w:tblCellMar>
            <w:top w:w="0" w:type="dxa"/>
            <w:left w:w="0" w:type="dxa"/>
            <w:bottom w:w="0" w:type="dxa"/>
            <w:right w:w="0" w:type="dxa"/>
          </w:tblCellMar>
        </w:tblPrEx>
        <w:trPr>
          <w:trHeight w:val="400" w:hRule="atLeast"/>
        </w:trPr>
        <w:tc>
          <w:tcPr>
            <w:tcW w:w="46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其中：</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暂列金</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材料暂估</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p>
        </w:tc>
      </w:tr>
      <w:tr>
        <w:tblPrEx>
          <w:tblCellMar>
            <w:top w:w="0" w:type="dxa"/>
            <w:left w:w="0" w:type="dxa"/>
            <w:bottom w:w="0" w:type="dxa"/>
            <w:right w:w="0" w:type="dxa"/>
          </w:tblCellMar>
        </w:tblPrEx>
        <w:trPr>
          <w:trHeight w:val="400" w:hRule="atLeast"/>
        </w:trPr>
        <w:tc>
          <w:tcPr>
            <w:tcW w:w="4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专业工程暂估</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甲供材料</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p>
        </w:tc>
      </w:tr>
      <w:tr>
        <w:tblPrEx>
          <w:tblCellMar>
            <w:top w:w="0" w:type="dxa"/>
            <w:left w:w="0" w:type="dxa"/>
            <w:bottom w:w="0" w:type="dxa"/>
            <w:right w:w="0" w:type="dxa"/>
          </w:tblCellMar>
        </w:tblPrEx>
        <w:trPr>
          <w:trHeight w:val="460" w:hRule="atLeast"/>
        </w:trPr>
        <w:tc>
          <w:tcPr>
            <w:tcW w:w="4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控制价可竞争部分的下浮率K</w:t>
            </w:r>
          </w:p>
        </w:tc>
        <w:tc>
          <w:tcPr>
            <w:tcW w:w="91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p>
        </w:tc>
      </w:tr>
      <w:tr>
        <w:tblPrEx>
          <w:tblCellMar>
            <w:top w:w="0" w:type="dxa"/>
            <w:left w:w="0" w:type="dxa"/>
            <w:bottom w:w="0" w:type="dxa"/>
            <w:right w:w="0" w:type="dxa"/>
          </w:tblCellMar>
        </w:tblPrEx>
        <w:trPr>
          <w:trHeight w:val="397" w:hRule="atLeast"/>
        </w:trPr>
        <w:tc>
          <w:tcPr>
            <w:tcW w:w="4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ind w:left="0" w:leftChars="0" w:firstLine="0" w:firstLineChars="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评标基准价中控制价权重K1</w:t>
            </w:r>
          </w:p>
        </w:tc>
        <w:tc>
          <w:tcPr>
            <w:tcW w:w="91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0"/>
                <w:sz w:val="24"/>
                <w:szCs w:val="24"/>
                <w:highlight w:val="none"/>
                <w:lang w:val="en-US" w:eastAsia="zh-CN" w:bidi="ar"/>
              </w:rPr>
            </w:pPr>
          </w:p>
        </w:tc>
      </w:tr>
      <w:tr>
        <w:tblPrEx>
          <w:tblCellMar>
            <w:top w:w="0" w:type="dxa"/>
            <w:left w:w="0" w:type="dxa"/>
            <w:bottom w:w="0" w:type="dxa"/>
            <w:right w:w="0" w:type="dxa"/>
          </w:tblCellMar>
        </w:tblPrEx>
        <w:trPr>
          <w:trHeight w:val="869" w:hRule="atLeast"/>
        </w:trPr>
        <w:tc>
          <w:tcPr>
            <w:tcW w:w="4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基准价招标控制价部分=(招标控制价-暂列金额-专业工程暂估价-甲供材料费)×（1-K）+暂列金额+专业工程暂估价+甲供材料费]*K1</w:t>
            </w:r>
          </w:p>
        </w:tc>
        <w:tc>
          <w:tcPr>
            <w:tcW w:w="91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400" w:hRule="atLeast"/>
        </w:trPr>
        <w:tc>
          <w:tcPr>
            <w:tcW w:w="137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投标报价部分</w:t>
            </w:r>
          </w:p>
        </w:tc>
      </w:tr>
      <w:tr>
        <w:tblPrEx>
          <w:tblCellMar>
            <w:top w:w="0" w:type="dxa"/>
            <w:left w:w="0" w:type="dxa"/>
            <w:bottom w:w="0" w:type="dxa"/>
            <w:right w:w="0" w:type="dxa"/>
          </w:tblCellMar>
        </w:tblPrEx>
        <w:trPr>
          <w:trHeight w:val="400" w:hRule="atLeast"/>
        </w:trPr>
        <w:tc>
          <w:tcPr>
            <w:tcW w:w="4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投标报价有效范围内报价算数平均值</w:t>
            </w:r>
          </w:p>
        </w:tc>
        <w:tc>
          <w:tcPr>
            <w:tcW w:w="91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451" w:hRule="atLeast"/>
        </w:trPr>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随机下浮率K2</w:t>
            </w:r>
          </w:p>
        </w:tc>
        <w:tc>
          <w:tcPr>
            <w:tcW w:w="91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400" w:hRule="atLeast"/>
        </w:trPr>
        <w:tc>
          <w:tcPr>
            <w:tcW w:w="4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基准价投标报价部分=投标报价有效范围内报价算数平均值 *（1-K1）*（1-K2）</w:t>
            </w:r>
          </w:p>
        </w:tc>
        <w:tc>
          <w:tcPr>
            <w:tcW w:w="91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r>
        <w:tblPrEx>
          <w:tblCellMar>
            <w:top w:w="0" w:type="dxa"/>
            <w:left w:w="0" w:type="dxa"/>
            <w:bottom w:w="0" w:type="dxa"/>
            <w:right w:w="0" w:type="dxa"/>
          </w:tblCellMar>
        </w:tblPrEx>
        <w:trPr>
          <w:trHeight w:val="400" w:hRule="atLeast"/>
        </w:trPr>
        <w:tc>
          <w:tcPr>
            <w:tcW w:w="1375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评标基准价计算</w:t>
            </w:r>
          </w:p>
        </w:tc>
      </w:tr>
      <w:tr>
        <w:tblPrEx>
          <w:tblCellMar>
            <w:top w:w="0" w:type="dxa"/>
            <w:left w:w="0" w:type="dxa"/>
            <w:bottom w:w="0" w:type="dxa"/>
            <w:right w:w="0" w:type="dxa"/>
          </w:tblCellMar>
        </w:tblPrEx>
        <w:trPr>
          <w:trHeight w:val="400" w:hRule="atLeast"/>
        </w:trPr>
        <w:tc>
          <w:tcPr>
            <w:tcW w:w="4638"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评标基准价=基准价招标控制价部分+基准价投标报价部分</w:t>
            </w:r>
          </w:p>
        </w:tc>
        <w:tc>
          <w:tcPr>
            <w:tcW w:w="91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1"/>
                <w:szCs w:val="21"/>
                <w:highlight w:val="none"/>
              </w:rPr>
            </w:pPr>
          </w:p>
        </w:tc>
      </w:tr>
    </w:tbl>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附表2-</w:t>
      </w:r>
      <w:r>
        <w:rPr>
          <w:rFonts w:hint="eastAsia" w:ascii="仿宋" w:hAnsi="仿宋" w:eastAsia="仿宋" w:cs="仿宋"/>
          <w:b/>
          <w:bCs/>
          <w:sz w:val="32"/>
          <w:szCs w:val="32"/>
          <w:highlight w:val="none"/>
          <w:lang w:val="en-US" w:eastAsia="zh-CN"/>
        </w:rPr>
        <w:t>3</w:t>
      </w:r>
    </w:p>
    <w:p>
      <w:pPr>
        <w:jc w:val="center"/>
        <w:rPr>
          <w:rFonts w:hint="eastAsia" w:ascii="宋体" w:hAnsi="宋体"/>
          <w:sz w:val="44"/>
          <w:szCs w:val="44"/>
          <w:highlight w:val="none"/>
        </w:rPr>
      </w:pPr>
      <w:r>
        <w:rPr>
          <w:rFonts w:hint="eastAsia" w:ascii="宋体" w:hAnsi="宋体" w:eastAsia="宋体" w:cs="宋体"/>
          <w:b/>
          <w:bCs w:val="0"/>
          <w:sz w:val="44"/>
          <w:szCs w:val="44"/>
          <w:highlight w:val="none"/>
        </w:rPr>
        <w:t>推荐的中标候选人及排序表</w:t>
      </w:r>
    </w:p>
    <w:p>
      <w:pPr>
        <w:widowControl/>
        <w:jc w:val="left"/>
        <w:textAlignment w:val="center"/>
        <w:rPr>
          <w:rFonts w:hint="eastAsia" w:ascii="宋体" w:hAnsi="宋体" w:eastAsia="宋体" w:cs="宋体"/>
          <w:b/>
          <w:bCs/>
          <w:color w:val="000000"/>
          <w:kern w:val="0"/>
          <w:sz w:val="24"/>
          <w:highlight w:val="none"/>
          <w:lang w:bidi="ar"/>
        </w:rPr>
      </w:pPr>
      <w:r>
        <w:rPr>
          <w:rFonts w:hint="eastAsia" w:ascii="宋体" w:hAnsi="宋体" w:eastAsia="宋体" w:cs="宋体"/>
          <w:b/>
          <w:bCs/>
          <w:color w:val="000000"/>
          <w:kern w:val="0"/>
          <w:sz w:val="24"/>
          <w:highlight w:val="none"/>
          <w:lang w:val="en-US" w:eastAsia="zh-CN" w:bidi="ar"/>
        </w:rPr>
        <w:t>项目</w:t>
      </w:r>
      <w:r>
        <w:rPr>
          <w:rFonts w:hint="eastAsia" w:ascii="宋体" w:hAnsi="宋体" w:eastAsia="宋体" w:cs="宋体"/>
          <w:b/>
          <w:bCs/>
          <w:color w:val="000000"/>
          <w:kern w:val="0"/>
          <w:sz w:val="24"/>
          <w:highlight w:val="none"/>
          <w:lang w:bidi="ar"/>
        </w:rPr>
        <w:t>名称：</w:t>
      </w:r>
    </w:p>
    <w:tbl>
      <w:tblPr>
        <w:tblStyle w:val="15"/>
        <w:tblW w:w="1452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340"/>
        <w:gridCol w:w="1420"/>
        <w:gridCol w:w="1420"/>
        <w:gridCol w:w="1400"/>
        <w:gridCol w:w="1340"/>
        <w:gridCol w:w="1420"/>
        <w:gridCol w:w="1320"/>
        <w:gridCol w:w="14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trPr>
        <w:tc>
          <w:tcPr>
            <w:tcW w:w="3340" w:type="dxa"/>
            <w:tcBorders>
              <w:tl2br w:val="single" w:color="auto" w:sz="4" w:space="0"/>
            </w:tcBorders>
            <w:shd w:val="clear" w:color="auto" w:fill="auto"/>
            <w:noWrap w:val="0"/>
            <w:vAlign w:val="bottom"/>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 xml:space="preserve">           投标单位</w:t>
            </w:r>
            <w:r>
              <w:rPr>
                <w:rFonts w:hint="eastAsia" w:ascii="宋体" w:hAnsi="宋体" w:eastAsia="宋体" w:cs="宋体"/>
                <w:color w:val="000000"/>
                <w:kern w:val="0"/>
                <w:sz w:val="24"/>
                <w:highlight w:val="none"/>
                <w:lang w:val="en-US" w:eastAsia="zh-CN" w:bidi="ar"/>
              </w:rPr>
              <w:br w:type="textWrapping"/>
            </w:r>
            <w:r>
              <w:rPr>
                <w:rFonts w:hint="eastAsia" w:ascii="宋体" w:hAnsi="宋体" w:eastAsia="宋体" w:cs="宋体"/>
                <w:color w:val="000000"/>
                <w:kern w:val="0"/>
                <w:sz w:val="24"/>
                <w:highlight w:val="none"/>
                <w:lang w:val="en-US" w:eastAsia="zh-CN" w:bidi="ar"/>
              </w:rPr>
              <w:t xml:space="preserve"> 内容</w:t>
            </w: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投标人1</w:t>
            </w: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投标人2</w:t>
            </w:r>
          </w:p>
        </w:tc>
        <w:tc>
          <w:tcPr>
            <w:tcW w:w="140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w:t>
            </w:r>
          </w:p>
        </w:tc>
        <w:tc>
          <w:tcPr>
            <w:tcW w:w="13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3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33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投标报价</w:t>
            </w: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0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3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3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trPr>
        <w:tc>
          <w:tcPr>
            <w:tcW w:w="33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评标基准价</w:t>
            </w:r>
          </w:p>
        </w:tc>
        <w:tc>
          <w:tcPr>
            <w:tcW w:w="11180" w:type="dxa"/>
            <w:gridSpan w:val="8"/>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atLeast"/>
        </w:trPr>
        <w:tc>
          <w:tcPr>
            <w:tcW w:w="33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是否高于评标基准价</w:t>
            </w: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0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3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3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atLeast"/>
        </w:trPr>
        <w:tc>
          <w:tcPr>
            <w:tcW w:w="3340" w:type="dxa"/>
            <w:shd w:val="clear" w:color="auto" w:fill="auto"/>
            <w:noWrap/>
            <w:vAlign w:val="center"/>
          </w:tcPr>
          <w:p>
            <w:pPr>
              <w:widowControl/>
              <w:jc w:val="center"/>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排名</w:t>
            </w: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0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3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3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4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atLeast"/>
        </w:trPr>
        <w:tc>
          <w:tcPr>
            <w:tcW w:w="3340" w:type="dxa"/>
            <w:vMerge w:val="restart"/>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推荐的中标候选人及排序</w:t>
            </w: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第一名</w:t>
            </w:r>
          </w:p>
        </w:tc>
        <w:tc>
          <w:tcPr>
            <w:tcW w:w="9760" w:type="dxa"/>
            <w:gridSpan w:val="7"/>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atLeast"/>
        </w:trPr>
        <w:tc>
          <w:tcPr>
            <w:tcW w:w="3340" w:type="dxa"/>
            <w:vMerge w:val="continue"/>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第二名</w:t>
            </w:r>
          </w:p>
        </w:tc>
        <w:tc>
          <w:tcPr>
            <w:tcW w:w="9760" w:type="dxa"/>
            <w:gridSpan w:val="7"/>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atLeast"/>
        </w:trPr>
        <w:tc>
          <w:tcPr>
            <w:tcW w:w="3340" w:type="dxa"/>
            <w:vMerge w:val="continue"/>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c>
          <w:tcPr>
            <w:tcW w:w="1420" w:type="dxa"/>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第三名</w:t>
            </w:r>
          </w:p>
        </w:tc>
        <w:tc>
          <w:tcPr>
            <w:tcW w:w="9760" w:type="dxa"/>
            <w:gridSpan w:val="7"/>
            <w:shd w:val="clear" w:color="auto" w:fill="auto"/>
            <w:noWrap/>
            <w:vAlign w:val="center"/>
          </w:tcPr>
          <w:p>
            <w:pPr>
              <w:widowControl/>
              <w:jc w:val="center"/>
              <w:rPr>
                <w:rFonts w:hint="eastAsia" w:ascii="宋体" w:hAnsi="宋体" w:eastAsia="宋体" w:cs="宋体"/>
                <w:color w:val="000000"/>
                <w:kern w:val="0"/>
                <w:sz w:val="24"/>
                <w:highlight w:val="none"/>
                <w:lang w:val="en-US" w:eastAsia="zh-CN" w:bidi="ar"/>
              </w:rPr>
            </w:pPr>
          </w:p>
        </w:tc>
      </w:tr>
    </w:tbl>
    <w:p>
      <w:pPr>
        <w:rPr>
          <w:rFonts w:ascii="仿宋_GB2312" w:eastAsia="仿宋_GB2312"/>
          <w:sz w:val="24"/>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附件3：</w:t>
      </w:r>
    </w:p>
    <w:p>
      <w:pPr>
        <w:widowControl/>
        <w:shd w:val="clear" w:color="auto" w:fill="FFFFFF"/>
        <w:jc w:val="center"/>
        <w:rPr>
          <w:rFonts w:hint="eastAsia" w:ascii="方正小标宋简体" w:hAnsi="仿宋_GB2312" w:eastAsia="方正小标宋简体" w:cs="Times New Roman"/>
          <w:kern w:val="0"/>
          <w:sz w:val="44"/>
          <w:szCs w:val="44"/>
          <w:highlight w:val="none"/>
        </w:rPr>
      </w:pPr>
      <w:r>
        <w:rPr>
          <w:rFonts w:hint="eastAsia" w:ascii="方正小标宋简体" w:hAnsi="仿宋_GB2312" w:eastAsia="方正小标宋简体" w:cs="Times New Roman"/>
          <w:kern w:val="0"/>
          <w:sz w:val="44"/>
          <w:szCs w:val="44"/>
          <w:highlight w:val="none"/>
        </w:rPr>
        <w:t>定性评审法</w:t>
      </w:r>
    </w:p>
    <w:p>
      <w:pPr>
        <w:numPr>
          <w:ilvl w:val="0"/>
          <w:numId w:val="0"/>
        </w:numPr>
        <w:ind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适用范围</w:t>
      </w:r>
    </w:p>
    <w:p>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bidi="ar"/>
        </w:rPr>
        <w:t>适用于</w:t>
      </w:r>
      <w:r>
        <w:rPr>
          <w:rFonts w:hint="eastAsia" w:ascii="仿宋" w:hAnsi="仿宋" w:eastAsia="仿宋" w:cs="仿宋"/>
          <w:sz w:val="32"/>
          <w:szCs w:val="32"/>
          <w:highlight w:val="none"/>
          <w:lang w:val="en-US" w:eastAsia="zh-CN" w:bidi="ar"/>
        </w:rPr>
        <w:t>采用“评定分离”方式</w:t>
      </w:r>
      <w:r>
        <w:rPr>
          <w:rFonts w:hint="eastAsia" w:ascii="仿宋" w:hAnsi="仿宋" w:eastAsia="仿宋" w:cs="仿宋"/>
          <w:sz w:val="32"/>
          <w:szCs w:val="32"/>
          <w:highlight w:val="none"/>
          <w:lang w:bidi="ar"/>
        </w:rPr>
        <w:t>由评标委员会推荐定标候选人的建筑工程施工项目。</w:t>
      </w:r>
    </w:p>
    <w:p>
      <w:pPr>
        <w:pStyle w:val="7"/>
        <w:spacing w:line="540" w:lineRule="exact"/>
        <w:ind w:firstLine="640" w:firstLineChars="20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评审程序与方法</w:t>
      </w:r>
    </w:p>
    <w:p>
      <w:pPr>
        <w:pStyle w:val="4"/>
        <w:adjustRightInd w:val="0"/>
        <w:spacing w:line="540" w:lineRule="exact"/>
        <w:ind w:firstLine="640" w:firstLineChars="200"/>
        <w:textAlignment w:val="baseline"/>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lang w:eastAsia="zh-CN" w:bidi="ar"/>
        </w:rPr>
        <w:t>（</w:t>
      </w:r>
      <w:r>
        <w:rPr>
          <w:rFonts w:hint="eastAsia" w:ascii="楷体" w:hAnsi="楷体" w:eastAsia="楷体" w:cs="楷体"/>
          <w:b w:val="0"/>
          <w:bCs/>
          <w:sz w:val="32"/>
          <w:szCs w:val="32"/>
          <w:highlight w:val="none"/>
          <w:lang w:val="en-US" w:eastAsia="zh-CN" w:bidi="ar"/>
        </w:rPr>
        <w:t>一</w:t>
      </w:r>
      <w:r>
        <w:rPr>
          <w:rFonts w:hint="eastAsia" w:ascii="楷体" w:hAnsi="楷体" w:eastAsia="楷体" w:cs="楷体"/>
          <w:b w:val="0"/>
          <w:bCs/>
          <w:sz w:val="32"/>
          <w:szCs w:val="32"/>
          <w:highlight w:val="none"/>
          <w:lang w:eastAsia="zh-CN" w:bidi="ar"/>
        </w:rPr>
        <w:t>）</w:t>
      </w:r>
      <w:r>
        <w:rPr>
          <w:rFonts w:hint="eastAsia" w:ascii="楷体" w:hAnsi="楷体" w:eastAsia="楷体" w:cs="楷体"/>
          <w:b w:val="0"/>
          <w:bCs/>
          <w:sz w:val="32"/>
          <w:szCs w:val="32"/>
          <w:highlight w:val="none"/>
          <w:lang w:bidi="ar"/>
        </w:rPr>
        <w:t>重大偏差评审</w:t>
      </w:r>
    </w:p>
    <w:p>
      <w:pPr>
        <w:pStyle w:val="7"/>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按照本办法第十七条及</w:t>
      </w:r>
      <w:r>
        <w:rPr>
          <w:rFonts w:hint="eastAsia" w:ascii="仿宋" w:hAnsi="仿宋" w:eastAsia="仿宋" w:cs="仿宋"/>
          <w:sz w:val="32"/>
          <w:szCs w:val="32"/>
          <w:highlight w:val="none"/>
          <w:lang w:val="en-US" w:eastAsia="zh-CN"/>
        </w:rPr>
        <w:t>本办法重大偏差评审标准（</w:t>
      </w:r>
      <w:r>
        <w:rPr>
          <w:rFonts w:hint="eastAsia" w:ascii="仿宋" w:hAnsi="仿宋" w:eastAsia="仿宋" w:cs="仿宋"/>
          <w:sz w:val="32"/>
          <w:szCs w:val="32"/>
          <w:highlight w:val="none"/>
        </w:rPr>
        <w:t>附表</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规定，对投标文件进行评审，对不符合相关规定和要求的投标文件予以否决。</w:t>
      </w:r>
    </w:p>
    <w:p>
      <w:pPr>
        <w:ind w:firstLine="726" w:firstLineChars="227"/>
        <w:rPr>
          <w:rFonts w:hint="eastAsia" w:ascii="仿宋" w:hAnsi="仿宋" w:eastAsia="仿宋" w:cs="仿宋"/>
          <w:b/>
          <w:sz w:val="32"/>
          <w:szCs w:val="32"/>
          <w:highlight w:val="none"/>
        </w:rPr>
      </w:pPr>
      <w:r>
        <w:rPr>
          <w:rFonts w:hint="eastAsia" w:ascii="仿宋" w:hAnsi="仿宋" w:eastAsia="仿宋" w:cs="仿宋"/>
          <w:sz w:val="32"/>
          <w:szCs w:val="32"/>
          <w:highlight w:val="none"/>
          <w:lang w:bidi="ar"/>
        </w:rPr>
        <w:t>通过重大偏差评审的投标人为有效投标人。</w:t>
      </w:r>
    </w:p>
    <w:p>
      <w:pPr>
        <w:pStyle w:val="7"/>
        <w:spacing w:line="540" w:lineRule="exact"/>
        <w:ind w:left="0" w:leftChars="0" w:firstLine="640" w:firstLineChars="200"/>
        <w:rPr>
          <w:rFonts w:hint="eastAsia" w:ascii="楷体" w:hAnsi="楷体" w:eastAsia="楷体" w:cs="楷体"/>
          <w:b w:val="0"/>
          <w:bCs/>
          <w:kern w:val="2"/>
          <w:sz w:val="32"/>
          <w:szCs w:val="32"/>
          <w:highlight w:val="none"/>
          <w:lang w:val="en-US" w:eastAsia="zh-CN" w:bidi="ar"/>
        </w:rPr>
      </w:pPr>
      <w:r>
        <w:rPr>
          <w:rFonts w:hint="eastAsia" w:ascii="楷体" w:hAnsi="楷体" w:eastAsia="楷体" w:cs="楷体"/>
          <w:b w:val="0"/>
          <w:bCs/>
          <w:kern w:val="2"/>
          <w:sz w:val="32"/>
          <w:szCs w:val="32"/>
          <w:highlight w:val="none"/>
          <w:lang w:val="en-US" w:eastAsia="zh-CN" w:bidi="ar"/>
        </w:rPr>
        <w:t>（二）报价合理性评审</w:t>
      </w:r>
    </w:p>
    <w:p>
      <w:pPr>
        <w:pStyle w:val="7"/>
        <w:spacing w:line="540" w:lineRule="exact"/>
        <w:ind w:left="0" w:leftChars="0" w:firstLine="640" w:firstLineChars="200"/>
        <w:rPr>
          <w:rFonts w:hint="default"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评标委员会应在</w:t>
      </w:r>
      <w:r>
        <w:rPr>
          <w:rFonts w:hint="eastAsia" w:ascii="仿宋" w:hAnsi="仿宋" w:eastAsia="仿宋" w:cs="仿宋"/>
          <w:sz w:val="32"/>
          <w:szCs w:val="32"/>
          <w:highlight w:val="none"/>
          <w:lang w:val="en-US" w:eastAsia="zh-CN"/>
        </w:rPr>
        <w:t>价格切线计算</w:t>
      </w:r>
      <w:r>
        <w:rPr>
          <w:rFonts w:hint="eastAsia" w:ascii="仿宋" w:hAnsi="仿宋" w:eastAsia="仿宋" w:cs="仿宋"/>
          <w:sz w:val="32"/>
          <w:szCs w:val="32"/>
          <w:highlight w:val="none"/>
        </w:rPr>
        <w:t>前，按照《新疆维吾尔自治区房屋建筑和市政基础设施工程施工投标报价合理性评审</w:t>
      </w:r>
      <w:r>
        <w:rPr>
          <w:rFonts w:hint="eastAsia" w:ascii="仿宋" w:hAnsi="仿宋" w:eastAsia="仿宋" w:cs="仿宋"/>
          <w:sz w:val="32"/>
          <w:szCs w:val="32"/>
          <w:highlight w:val="none"/>
          <w:lang w:val="en-US" w:eastAsia="zh-CN"/>
        </w:rPr>
        <w:t>规则（</w:t>
      </w:r>
      <w:r>
        <w:rPr>
          <w:rFonts w:hint="eastAsia" w:ascii="仿宋" w:hAnsi="仿宋" w:eastAsia="仿宋" w:cs="仿宋"/>
          <w:sz w:val="32"/>
          <w:szCs w:val="32"/>
          <w:highlight w:val="none"/>
        </w:rPr>
        <w:t>暂行</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》对各投标报价进行报价合理性评审。</w:t>
      </w:r>
      <w:r>
        <w:rPr>
          <w:rFonts w:hint="eastAsia" w:ascii="仿宋" w:hAnsi="仿宋" w:eastAsia="仿宋" w:cs="仿宋"/>
          <w:sz w:val="32"/>
          <w:szCs w:val="32"/>
          <w:highlight w:val="none"/>
          <w:lang w:val="en-US" w:eastAsia="zh-CN"/>
        </w:rPr>
        <w:t>通过报价合理性评审的投标人进入价格切线计算。</w:t>
      </w:r>
    </w:p>
    <w:p>
      <w:pPr>
        <w:pStyle w:val="7"/>
        <w:spacing w:line="540" w:lineRule="exact"/>
        <w:ind w:firstLine="729" w:firstLineChars="228"/>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报价修正</w:t>
      </w:r>
    </w:p>
    <w:p>
      <w:pPr>
        <w:pStyle w:val="30"/>
        <w:ind w:firstLine="640" w:firstLineChars="200"/>
        <w:rPr>
          <w:rFonts w:ascii="Times New Roman" w:hAnsi="Times New Roman" w:eastAsia="仿宋" w:cs="Times New Roman"/>
          <w:sz w:val="32"/>
          <w:szCs w:val="32"/>
          <w:highlight w:val="none"/>
        </w:rPr>
      </w:pPr>
      <w:r>
        <w:rPr>
          <w:rFonts w:ascii="Times New Roman" w:hAnsi="仿宋" w:eastAsia="仿宋" w:cs="Times New Roman"/>
          <w:sz w:val="32"/>
          <w:szCs w:val="32"/>
          <w:highlight w:val="none"/>
        </w:rPr>
        <w:t>评标委员会对清标中发现投标报价存在算术性错误的，应按以下原则对投标报价进行修正：</w:t>
      </w:r>
    </w:p>
    <w:p>
      <w:pPr>
        <w:pStyle w:val="3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一是</w:t>
      </w:r>
      <w:r>
        <w:rPr>
          <w:rFonts w:ascii="Times New Roman" w:hAnsi="仿宋" w:eastAsia="仿宋" w:cs="Times New Roman"/>
          <w:sz w:val="32"/>
          <w:szCs w:val="32"/>
          <w:highlight w:val="none"/>
        </w:rPr>
        <w:t>当综合单价与工程量（或计算基础金额与费率）的乘积与合价不一致时，以综合单价（或费率）为准修正合价及总价；</w:t>
      </w:r>
    </w:p>
    <w:p>
      <w:pPr>
        <w:pStyle w:val="30"/>
        <w:ind w:firstLine="640" w:firstLineChars="200"/>
        <w:rPr>
          <w:rFonts w:ascii="Times New Roman" w:hAnsi="Times New Roman" w:eastAsia="仿宋" w:cs="Times New Roman"/>
          <w:sz w:val="32"/>
          <w:szCs w:val="32"/>
          <w:highlight w:val="none"/>
        </w:rPr>
      </w:pPr>
      <w:r>
        <w:rPr>
          <w:rFonts w:hint="eastAsia" w:ascii="Times New Roman" w:hAnsi="仿宋" w:eastAsia="仿宋" w:cs="Times New Roman"/>
          <w:sz w:val="32"/>
          <w:szCs w:val="32"/>
          <w:highlight w:val="none"/>
          <w:lang w:val="en-US" w:eastAsia="zh-CN"/>
        </w:rPr>
        <w:t>二是</w:t>
      </w:r>
      <w:r>
        <w:rPr>
          <w:rFonts w:ascii="Times New Roman" w:hAnsi="仿宋" w:eastAsia="仿宋" w:cs="Times New Roman"/>
          <w:sz w:val="32"/>
          <w:szCs w:val="32"/>
          <w:highlight w:val="none"/>
        </w:rPr>
        <w:t>当各单项金额相加与其合计金额不一致时，以各单项金额为准修正相应合计金额及总价。</w:t>
      </w:r>
    </w:p>
    <w:p>
      <w:pPr>
        <w:pStyle w:val="7"/>
        <w:spacing w:line="540" w:lineRule="exact"/>
        <w:ind w:firstLine="729" w:firstLineChars="228"/>
        <w:rPr>
          <w:rFonts w:hint="default"/>
          <w:color w:val="auto"/>
          <w:highlight w:val="none"/>
          <w:lang w:val="en-US" w:eastAsia="zh-CN"/>
        </w:rPr>
      </w:pPr>
      <w:r>
        <w:rPr>
          <w:rFonts w:ascii="Times New Roman" w:hAnsi="仿宋" w:eastAsia="仿宋" w:cs="Times New Roman"/>
          <w:sz w:val="32"/>
          <w:szCs w:val="32"/>
          <w:highlight w:val="none"/>
        </w:rPr>
        <w:t>评标委员会</w:t>
      </w:r>
      <w:r>
        <w:rPr>
          <w:rFonts w:ascii="Times New Roman" w:hAnsi="仿宋" w:eastAsia="仿宋" w:cs="Times New Roman"/>
          <w:color w:val="auto"/>
          <w:sz w:val="32"/>
          <w:szCs w:val="32"/>
          <w:highlight w:val="none"/>
        </w:rPr>
        <w:t>修正后的价格经投标人书面确认后具有约束力</w:t>
      </w:r>
      <w:r>
        <w:rPr>
          <w:rFonts w:hint="eastAsia" w:ascii="Times New Roman" w:hAnsi="仿宋" w:eastAsia="仿宋" w:cs="Times New Roman"/>
          <w:color w:val="auto"/>
          <w:sz w:val="32"/>
          <w:szCs w:val="32"/>
          <w:highlight w:val="none"/>
          <w:lang w:eastAsia="zh-CN"/>
        </w:rPr>
        <w:t>，</w:t>
      </w:r>
      <w:r>
        <w:rPr>
          <w:rFonts w:hint="eastAsia" w:ascii="仿宋" w:hAnsi="仿宋" w:eastAsia="仿宋" w:cs="仿宋"/>
          <w:color w:val="auto"/>
          <w:sz w:val="32"/>
          <w:szCs w:val="32"/>
          <w:highlight w:val="none"/>
          <w:lang w:val="en-US" w:eastAsia="zh-CN"/>
        </w:rPr>
        <w:t>计算价格切线以修正后的报价为准（以后所称投标报价均为修正后的报价）</w:t>
      </w:r>
      <w:r>
        <w:rPr>
          <w:rFonts w:ascii="Times New Roman" w:hAnsi="仿宋" w:eastAsia="仿宋" w:cs="Times New Roman"/>
          <w:color w:val="auto"/>
          <w:sz w:val="32"/>
          <w:szCs w:val="32"/>
          <w:highlight w:val="none"/>
        </w:rPr>
        <w:t>。投标人不接受修正价格或修正后价格高于招标控制价的，评标委员会应否决其投标。</w:t>
      </w:r>
    </w:p>
    <w:p>
      <w:pPr>
        <w:ind w:firstLine="726" w:firstLineChars="227"/>
        <w:rPr>
          <w:rFonts w:hint="eastAsia" w:ascii="楷体" w:hAnsi="楷体" w:eastAsia="楷体" w:cs="楷体"/>
          <w:b w:val="0"/>
          <w:bCs/>
          <w:color w:val="auto"/>
          <w:kern w:val="2"/>
          <w:sz w:val="32"/>
          <w:szCs w:val="32"/>
          <w:highlight w:val="none"/>
          <w:lang w:val="en-US" w:eastAsia="zh-CN" w:bidi="ar"/>
        </w:rPr>
      </w:pPr>
      <w:r>
        <w:rPr>
          <w:rFonts w:hint="eastAsia" w:ascii="楷体" w:hAnsi="楷体" w:eastAsia="楷体" w:cs="楷体"/>
          <w:b w:val="0"/>
          <w:bCs/>
          <w:color w:val="auto"/>
          <w:kern w:val="2"/>
          <w:sz w:val="32"/>
          <w:szCs w:val="32"/>
          <w:highlight w:val="none"/>
          <w:lang w:val="en-US" w:eastAsia="zh-CN" w:bidi="ar"/>
        </w:rPr>
        <w:t>（三）计算价格切线</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1、招标控制价部分=(招标控制价-暂列金额-专业工程暂估价-甲供材料费)×（1-K）+暂列金额+专业工程暂估价+甲供材料费</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2、投标报价部分=有效投标人少于5家（不含）直接取算术平均值；大于5家（含）时去掉总家数20%高价（四舍五入取整）和总家数20%低价（四舍五入取整）后的取算术平均值。</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3、价格切线=招标控制价部分×K1+投标报价部分×（1-K1）×（1-K2）。</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K为价格切线中控制价可竞争部分的下浮率，</w:t>
      </w:r>
      <w:r>
        <w:rPr>
          <w:rFonts w:hint="eastAsia" w:ascii="仿宋" w:hAnsi="仿宋" w:eastAsia="仿宋" w:cs="仿宋"/>
          <w:color w:val="auto"/>
          <w:sz w:val="32"/>
          <w:szCs w:val="32"/>
          <w:highlight w:val="none"/>
        </w:rPr>
        <w:t>由招标人在</w:t>
      </w:r>
      <w:r>
        <w:rPr>
          <w:rFonts w:hint="eastAsia" w:ascii="仿宋" w:hAnsi="仿宋" w:eastAsia="仿宋" w:cs="仿宋"/>
          <w:color w:val="auto"/>
          <w:sz w:val="32"/>
          <w:szCs w:val="32"/>
          <w:highlight w:val="none"/>
          <w:lang w:val="en-US" w:eastAsia="zh-CN"/>
        </w:rPr>
        <w:t>计算价格切线</w:t>
      </w:r>
      <w:r>
        <w:rPr>
          <w:rFonts w:hint="eastAsia" w:ascii="仿宋" w:hAnsi="仿宋" w:eastAsia="仿宋" w:cs="仿宋"/>
          <w:color w:val="auto"/>
          <w:sz w:val="32"/>
          <w:szCs w:val="32"/>
          <w:highlight w:val="none"/>
        </w:rPr>
        <w:t>前，随机抽取确定。</w:t>
      </w:r>
    </w:p>
    <w:p>
      <w:pPr>
        <w:pStyle w:val="7"/>
        <w:spacing w:line="540" w:lineRule="exact"/>
        <w:ind w:firstLine="729" w:firstLineChars="22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K值取值建议：房屋建筑工程0%</w:t>
      </w:r>
      <w:r>
        <w:rPr>
          <w:rFonts w:hint="eastAsia" w:ascii="微软雅黑" w:hAnsi="微软雅黑" w:eastAsia="微软雅黑" w:cs="微软雅黑"/>
          <w:sz w:val="32"/>
          <w:szCs w:val="32"/>
          <w:highlight w:val="none"/>
        </w:rPr>
        <w:t>～</w:t>
      </w:r>
      <w:r>
        <w:rPr>
          <w:rFonts w:hint="eastAsia" w:ascii="仿宋" w:hAnsi="仿宋" w:eastAsia="仿宋" w:cs="仿宋"/>
          <w:color w:val="auto"/>
          <w:sz w:val="32"/>
          <w:szCs w:val="32"/>
          <w:highlight w:val="none"/>
          <w:lang w:bidi="ar"/>
        </w:rPr>
        <w:t>5%;单独招标的安装工程和装饰装修工程0%</w:t>
      </w:r>
      <w:r>
        <w:rPr>
          <w:rFonts w:hint="eastAsia" w:ascii="微软雅黑" w:hAnsi="微软雅黑" w:eastAsia="微软雅黑" w:cs="微软雅黑"/>
          <w:sz w:val="32"/>
          <w:szCs w:val="32"/>
          <w:highlight w:val="none"/>
        </w:rPr>
        <w:t>～</w:t>
      </w:r>
      <w:r>
        <w:rPr>
          <w:rFonts w:hint="eastAsia" w:ascii="仿宋" w:hAnsi="仿宋" w:eastAsia="仿宋" w:cs="仿宋"/>
          <w:color w:val="auto"/>
          <w:sz w:val="32"/>
          <w:szCs w:val="32"/>
          <w:highlight w:val="none"/>
          <w:lang w:bidi="ar"/>
        </w:rPr>
        <w:t>8%;市政和园林绿化工程0%</w:t>
      </w:r>
      <w:r>
        <w:rPr>
          <w:rFonts w:hint="eastAsia" w:ascii="微软雅黑" w:hAnsi="微软雅黑" w:eastAsia="微软雅黑" w:cs="微软雅黑"/>
          <w:sz w:val="32"/>
          <w:szCs w:val="32"/>
          <w:highlight w:val="none"/>
        </w:rPr>
        <w:t>～</w:t>
      </w:r>
      <w:r>
        <w:rPr>
          <w:rFonts w:hint="eastAsia" w:ascii="仿宋" w:hAnsi="仿宋" w:eastAsia="仿宋" w:cs="仿宋"/>
          <w:color w:val="auto"/>
          <w:sz w:val="32"/>
          <w:szCs w:val="32"/>
          <w:highlight w:val="none"/>
          <w:lang w:bidi="ar"/>
        </w:rPr>
        <w:t>10%</w:t>
      </w: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rPr>
        <w:t>以上均以1%为间隔。</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K1为价格切线中控制价权重，</w:t>
      </w:r>
      <w:r>
        <w:rPr>
          <w:rFonts w:hint="eastAsia" w:ascii="仿宋" w:hAnsi="仿宋" w:eastAsia="仿宋" w:cs="仿宋"/>
          <w:color w:val="auto"/>
          <w:sz w:val="32"/>
          <w:szCs w:val="32"/>
          <w:highlight w:val="none"/>
        </w:rPr>
        <w:t>由招标人在</w:t>
      </w:r>
      <w:r>
        <w:rPr>
          <w:rFonts w:hint="eastAsia" w:ascii="仿宋" w:hAnsi="仿宋" w:eastAsia="仿宋" w:cs="仿宋"/>
          <w:color w:val="auto"/>
          <w:sz w:val="32"/>
          <w:szCs w:val="32"/>
          <w:highlight w:val="none"/>
          <w:lang w:val="en-US" w:eastAsia="zh-CN"/>
        </w:rPr>
        <w:t>计算价格切线</w:t>
      </w:r>
      <w:r>
        <w:rPr>
          <w:rFonts w:hint="eastAsia" w:ascii="仿宋" w:hAnsi="仿宋" w:eastAsia="仿宋" w:cs="仿宋"/>
          <w:color w:val="auto"/>
          <w:sz w:val="32"/>
          <w:szCs w:val="32"/>
          <w:highlight w:val="none"/>
        </w:rPr>
        <w:t>前，随机抽取确定。</w:t>
      </w:r>
      <w:r>
        <w:rPr>
          <w:rFonts w:hint="eastAsia" w:ascii="仿宋" w:hAnsi="仿宋" w:eastAsia="仿宋" w:cs="仿宋"/>
          <w:color w:val="auto"/>
          <w:sz w:val="32"/>
          <w:szCs w:val="32"/>
          <w:highlight w:val="none"/>
          <w:lang w:bidi="ar"/>
        </w:rPr>
        <w:t>K1取值范围0%</w:t>
      </w:r>
      <w:r>
        <w:rPr>
          <w:rFonts w:hint="eastAsia" w:ascii="微软雅黑" w:hAnsi="微软雅黑" w:eastAsia="微软雅黑" w:cs="微软雅黑"/>
          <w:sz w:val="32"/>
          <w:szCs w:val="32"/>
          <w:highlight w:val="none"/>
        </w:rPr>
        <w:t>～</w:t>
      </w:r>
      <w:r>
        <w:rPr>
          <w:rFonts w:hint="eastAsia" w:ascii="仿宋" w:hAnsi="仿宋" w:eastAsia="仿宋" w:cs="仿宋"/>
          <w:color w:val="auto"/>
          <w:sz w:val="32"/>
          <w:szCs w:val="32"/>
          <w:highlight w:val="none"/>
          <w:lang w:val="en-US" w:eastAsia="zh-CN" w:bidi="ar"/>
        </w:rPr>
        <w:t>5</w:t>
      </w:r>
      <w:r>
        <w:rPr>
          <w:rFonts w:hint="eastAsia" w:ascii="仿宋" w:hAnsi="仿宋" w:eastAsia="仿宋" w:cs="仿宋"/>
          <w:color w:val="auto"/>
          <w:sz w:val="32"/>
          <w:szCs w:val="32"/>
          <w:highlight w:val="none"/>
          <w:lang w:bidi="ar"/>
        </w:rPr>
        <w:t>0%，以10%为间隔。</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K2为随机下浮率，</w:t>
      </w:r>
      <w:r>
        <w:rPr>
          <w:rFonts w:hint="eastAsia" w:ascii="仿宋" w:hAnsi="仿宋" w:eastAsia="仿宋" w:cs="仿宋"/>
          <w:color w:val="auto"/>
          <w:sz w:val="32"/>
          <w:szCs w:val="32"/>
          <w:highlight w:val="none"/>
        </w:rPr>
        <w:t>由招标人在</w:t>
      </w:r>
      <w:r>
        <w:rPr>
          <w:rFonts w:hint="eastAsia" w:ascii="仿宋" w:hAnsi="仿宋" w:eastAsia="仿宋" w:cs="仿宋"/>
          <w:color w:val="auto"/>
          <w:sz w:val="32"/>
          <w:szCs w:val="32"/>
          <w:highlight w:val="none"/>
          <w:lang w:val="en-US" w:eastAsia="zh-CN"/>
        </w:rPr>
        <w:t>计算价格切线</w:t>
      </w:r>
      <w:r>
        <w:rPr>
          <w:rFonts w:hint="eastAsia" w:ascii="仿宋" w:hAnsi="仿宋" w:eastAsia="仿宋" w:cs="仿宋"/>
          <w:color w:val="auto"/>
          <w:sz w:val="32"/>
          <w:szCs w:val="32"/>
          <w:highlight w:val="none"/>
        </w:rPr>
        <w:t>前，随机抽取确定。</w:t>
      </w:r>
      <w:r>
        <w:rPr>
          <w:rFonts w:hint="eastAsia" w:ascii="仿宋" w:hAnsi="仿宋" w:eastAsia="仿宋" w:cs="仿宋"/>
          <w:color w:val="auto"/>
          <w:sz w:val="32"/>
          <w:szCs w:val="32"/>
          <w:highlight w:val="none"/>
          <w:lang w:bidi="ar"/>
        </w:rPr>
        <w:t>K2的取值范围1%</w:t>
      </w:r>
      <w:r>
        <w:rPr>
          <w:rFonts w:hint="eastAsia" w:ascii="微软雅黑" w:hAnsi="微软雅黑" w:eastAsia="微软雅黑" w:cs="微软雅黑"/>
          <w:sz w:val="32"/>
          <w:szCs w:val="32"/>
          <w:highlight w:val="none"/>
        </w:rPr>
        <w:t>～</w:t>
      </w:r>
      <w:r>
        <w:rPr>
          <w:rFonts w:hint="eastAsia" w:ascii="仿宋" w:hAnsi="仿宋" w:eastAsia="仿宋" w:cs="仿宋"/>
          <w:color w:val="auto"/>
          <w:sz w:val="32"/>
          <w:szCs w:val="32"/>
          <w:highlight w:val="none"/>
          <w:lang w:bidi="ar"/>
        </w:rPr>
        <w:t>4%，以1%为间隔。</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价格切线计算完成后成为固定值，不因之后评审情况发生变化。</w:t>
      </w:r>
    </w:p>
    <w:p>
      <w:pPr>
        <w:numPr>
          <w:ilvl w:val="0"/>
          <w:numId w:val="0"/>
        </w:numPr>
        <w:shd w:val="clear" w:color="auto" w:fill="FFFFFF"/>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kern w:val="2"/>
          <w:sz w:val="32"/>
          <w:szCs w:val="32"/>
          <w:highlight w:val="none"/>
          <w:lang w:val="en-US" w:eastAsia="zh-CN" w:bidi="ar"/>
        </w:rPr>
        <w:t>（四）</w:t>
      </w:r>
      <w:r>
        <w:rPr>
          <w:rFonts w:hint="eastAsia" w:ascii="楷体" w:hAnsi="楷体" w:eastAsia="楷体" w:cs="楷体"/>
          <w:b w:val="0"/>
          <w:bCs/>
          <w:color w:val="auto"/>
          <w:kern w:val="0"/>
          <w:sz w:val="32"/>
          <w:szCs w:val="32"/>
          <w:highlight w:val="none"/>
          <w:lang w:val="en-US" w:eastAsia="zh-CN"/>
        </w:rPr>
        <w:t>确定入围投标人数量</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评标委员会对有效投标人按照其投标报价与价格切线差价绝对值由小到大依次排序，选取前X名为</w:t>
      </w:r>
      <w:r>
        <w:rPr>
          <w:rFonts w:hint="eastAsia" w:ascii="仿宋" w:hAnsi="仿宋" w:eastAsia="仿宋" w:cs="仿宋"/>
          <w:color w:val="auto"/>
          <w:sz w:val="32"/>
          <w:szCs w:val="32"/>
          <w:highlight w:val="none"/>
          <w:lang w:val="en-US" w:eastAsia="zh-CN" w:bidi="ar"/>
        </w:rPr>
        <w:t>入围投标人</w:t>
      </w:r>
      <w:r>
        <w:rPr>
          <w:rFonts w:hint="eastAsia" w:ascii="仿宋" w:hAnsi="仿宋" w:eastAsia="仿宋" w:cs="仿宋"/>
          <w:color w:val="auto"/>
          <w:sz w:val="32"/>
          <w:szCs w:val="32"/>
          <w:highlight w:val="none"/>
          <w:lang w:bidi="ar"/>
        </w:rPr>
        <w:t>（当出现投标人名次相同时，由评标委员会按投标报价由低到高进行排序）并对其投标文件进行下阶段评审。</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投标报价与价格切线的差价绝对值=|Ai-价格切线|。</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Ai 为各投标人的报价。</w:t>
      </w:r>
    </w:p>
    <w:p>
      <w:pPr>
        <w:ind w:firstLine="726" w:firstLineChars="22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X为推荐</w:t>
      </w:r>
      <w:r>
        <w:rPr>
          <w:rFonts w:hint="eastAsia" w:ascii="仿宋" w:hAnsi="仿宋" w:eastAsia="仿宋" w:cs="仿宋"/>
          <w:color w:val="auto"/>
          <w:sz w:val="32"/>
          <w:szCs w:val="32"/>
          <w:highlight w:val="none"/>
          <w:lang w:val="en-US" w:eastAsia="zh-CN" w:bidi="ar"/>
        </w:rPr>
        <w:t>入围</w:t>
      </w:r>
      <w:r>
        <w:rPr>
          <w:rFonts w:hint="eastAsia" w:ascii="仿宋" w:hAnsi="仿宋" w:eastAsia="仿宋" w:cs="仿宋"/>
          <w:color w:val="auto"/>
          <w:sz w:val="32"/>
          <w:szCs w:val="32"/>
          <w:highlight w:val="none"/>
          <w:lang w:bidi="ar"/>
        </w:rPr>
        <w:t>投标人数量，由招标人在招标文件中明确具体数值。</w:t>
      </w:r>
    </w:p>
    <w:p>
      <w:pPr>
        <w:ind w:firstLine="640" w:firstLineChars="200"/>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bidi="ar"/>
        </w:rPr>
        <w:t>（</w:t>
      </w:r>
      <w:r>
        <w:rPr>
          <w:rFonts w:hint="eastAsia" w:ascii="楷体" w:hAnsi="楷体" w:eastAsia="楷体" w:cs="楷体"/>
          <w:b w:val="0"/>
          <w:bCs w:val="0"/>
          <w:color w:val="auto"/>
          <w:sz w:val="32"/>
          <w:szCs w:val="32"/>
          <w:highlight w:val="none"/>
          <w:lang w:val="en-US" w:eastAsia="zh-CN" w:bidi="ar"/>
        </w:rPr>
        <w:t>五</w:t>
      </w:r>
      <w:r>
        <w:rPr>
          <w:rFonts w:hint="eastAsia" w:ascii="楷体" w:hAnsi="楷体" w:eastAsia="楷体" w:cs="楷体"/>
          <w:b w:val="0"/>
          <w:bCs w:val="0"/>
          <w:color w:val="auto"/>
          <w:sz w:val="32"/>
          <w:szCs w:val="32"/>
          <w:highlight w:val="none"/>
          <w:lang w:eastAsia="zh-CN" w:bidi="ar"/>
        </w:rPr>
        <w:t>）</w:t>
      </w:r>
      <w:r>
        <w:rPr>
          <w:rFonts w:hint="eastAsia" w:ascii="楷体" w:hAnsi="楷体" w:eastAsia="楷体" w:cs="楷体"/>
          <w:b w:val="0"/>
          <w:bCs w:val="0"/>
          <w:color w:val="auto"/>
          <w:sz w:val="32"/>
          <w:szCs w:val="32"/>
          <w:highlight w:val="none"/>
          <w:lang w:val="en-US" w:eastAsia="zh-CN" w:bidi="ar"/>
        </w:rPr>
        <w:t>形式和资格</w:t>
      </w:r>
      <w:r>
        <w:rPr>
          <w:rFonts w:hint="eastAsia" w:ascii="楷体" w:hAnsi="楷体" w:eastAsia="楷体" w:cs="楷体"/>
          <w:b w:val="0"/>
          <w:bCs w:val="0"/>
          <w:color w:val="auto"/>
          <w:sz w:val="32"/>
          <w:szCs w:val="32"/>
          <w:highlight w:val="none"/>
          <w:lang w:bidi="ar"/>
        </w:rPr>
        <w:t>评审</w:t>
      </w:r>
    </w:p>
    <w:p>
      <w:pPr>
        <w:pStyle w:val="7"/>
        <w:spacing w:line="54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按照本办法第十五条至第十</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条及形式、资格</w:t>
      </w:r>
      <w:r>
        <w:rPr>
          <w:rFonts w:hint="eastAsia" w:ascii="仿宋" w:hAnsi="仿宋" w:eastAsia="仿宋" w:cs="仿宋"/>
          <w:color w:val="auto"/>
          <w:sz w:val="32"/>
          <w:szCs w:val="32"/>
          <w:highlight w:val="none"/>
          <w:lang w:val="en-US" w:eastAsia="zh-CN"/>
        </w:rPr>
        <w:t>评审标准（</w:t>
      </w:r>
      <w:r>
        <w:rPr>
          <w:rFonts w:hint="eastAsia" w:ascii="仿宋" w:hAnsi="仿宋" w:eastAsia="仿宋" w:cs="仿宋"/>
          <w:color w:val="auto"/>
          <w:sz w:val="32"/>
          <w:szCs w:val="32"/>
          <w:highlight w:val="none"/>
        </w:rPr>
        <w:t>附表</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规定，对投标文件进行评审，对不符合相关规定和要求的投标文件予以否决。</w:t>
      </w:r>
    </w:p>
    <w:p>
      <w:pPr>
        <w:ind w:firstLine="640" w:firstLineChars="200"/>
        <w:rPr>
          <w:rFonts w:hint="eastAsia" w:ascii="楷体" w:hAnsi="楷体" w:eastAsia="楷体" w:cs="楷体"/>
          <w:b w:val="0"/>
          <w:bCs w:val="0"/>
          <w:color w:val="auto"/>
          <w:sz w:val="32"/>
          <w:szCs w:val="32"/>
          <w:highlight w:val="none"/>
          <w:lang w:val="en-US" w:eastAsia="zh-CN" w:bidi="ar"/>
        </w:rPr>
      </w:pPr>
      <w:r>
        <w:rPr>
          <w:rFonts w:hint="eastAsia" w:ascii="楷体" w:hAnsi="楷体" w:eastAsia="楷体" w:cs="楷体"/>
          <w:b w:val="0"/>
          <w:bCs w:val="0"/>
          <w:color w:val="auto"/>
          <w:sz w:val="32"/>
          <w:szCs w:val="32"/>
          <w:highlight w:val="none"/>
          <w:lang w:val="en-US" w:eastAsia="zh-CN" w:bidi="ar"/>
        </w:rPr>
        <w:t>（六）技术标定性评审</w:t>
      </w:r>
    </w:p>
    <w:p>
      <w:pPr>
        <w:numPr>
          <w:ilvl w:val="0"/>
          <w:numId w:val="0"/>
        </w:numPr>
        <w:shd w:val="clear" w:color="auto" w:fill="FFFFFF"/>
        <w:ind w:firstLine="640" w:firstLineChars="200"/>
        <w:rPr>
          <w:rFonts w:hint="eastAsia"/>
          <w:color w:val="auto"/>
          <w:highlight w:val="none"/>
          <w:lang w:val="en-US" w:eastAsia="zh-CN"/>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经</w:t>
      </w:r>
      <w:r>
        <w:rPr>
          <w:rFonts w:hint="eastAsia" w:ascii="仿宋" w:hAnsi="仿宋" w:eastAsia="仿宋" w:cs="仿宋"/>
          <w:color w:val="auto"/>
          <w:kern w:val="0"/>
          <w:sz w:val="32"/>
          <w:szCs w:val="32"/>
          <w:highlight w:val="none"/>
          <w:lang w:val="en-US" w:eastAsia="zh-CN"/>
        </w:rPr>
        <w:t>上阶段</w:t>
      </w:r>
      <w:r>
        <w:rPr>
          <w:rFonts w:hint="eastAsia" w:ascii="仿宋" w:hAnsi="仿宋" w:eastAsia="仿宋" w:cs="仿宋"/>
          <w:color w:val="auto"/>
          <w:kern w:val="0"/>
          <w:sz w:val="32"/>
          <w:szCs w:val="32"/>
          <w:highlight w:val="none"/>
        </w:rPr>
        <w:t>评审合格的</w:t>
      </w:r>
      <w:r>
        <w:rPr>
          <w:rFonts w:hint="eastAsia" w:ascii="仿宋" w:hAnsi="仿宋" w:eastAsia="仿宋" w:cs="仿宋"/>
          <w:color w:val="auto"/>
          <w:kern w:val="0"/>
          <w:sz w:val="32"/>
          <w:szCs w:val="32"/>
          <w:highlight w:val="none"/>
          <w:lang w:val="en-US" w:eastAsia="zh-CN"/>
        </w:rPr>
        <w:t>入围</w:t>
      </w:r>
      <w:r>
        <w:rPr>
          <w:rFonts w:hint="eastAsia" w:ascii="仿宋" w:hAnsi="仿宋" w:eastAsia="仿宋" w:cs="仿宋"/>
          <w:color w:val="auto"/>
          <w:kern w:val="0"/>
          <w:sz w:val="32"/>
          <w:szCs w:val="32"/>
          <w:highlight w:val="none"/>
        </w:rPr>
        <w:t>投标人，由评标委员会根据招标文件确定的评审因素和评审标准</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参照技术标定性评审标准（附表3-2）</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采取定性评审的方法进行评审。</w:t>
      </w:r>
    </w:p>
    <w:p>
      <w:pPr>
        <w:numPr>
          <w:ilvl w:val="0"/>
          <w:numId w:val="0"/>
        </w:numPr>
        <w:shd w:val="clear" w:color="auto" w:fill="FFFFFF"/>
        <w:ind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2、技术标评审</w:t>
      </w:r>
      <w:r>
        <w:rPr>
          <w:rFonts w:hint="default" w:ascii="仿宋" w:hAnsi="仿宋" w:eastAsia="仿宋" w:cs="仿宋"/>
          <w:color w:val="auto"/>
          <w:kern w:val="0"/>
          <w:sz w:val="32"/>
          <w:szCs w:val="32"/>
          <w:highlight w:val="none"/>
          <w:lang w:val="en-US" w:eastAsia="zh-CN"/>
        </w:rPr>
        <w:t>采用暗标和评委个人评审方式</w:t>
      </w:r>
      <w:r>
        <w:rPr>
          <w:rFonts w:hint="eastAsia" w:ascii="仿宋" w:hAnsi="仿宋" w:eastAsia="仿宋" w:cs="仿宋"/>
          <w:color w:val="auto"/>
          <w:kern w:val="0"/>
          <w:sz w:val="32"/>
          <w:szCs w:val="32"/>
          <w:highlight w:val="none"/>
          <w:lang w:val="en-US" w:eastAsia="zh-CN"/>
        </w:rPr>
        <w:t>进行</w:t>
      </w:r>
      <w:r>
        <w:rPr>
          <w:rFonts w:hint="default" w:ascii="仿宋" w:hAnsi="仿宋" w:eastAsia="仿宋" w:cs="仿宋"/>
          <w:color w:val="auto"/>
          <w:kern w:val="0"/>
          <w:sz w:val="32"/>
          <w:szCs w:val="32"/>
          <w:highlight w:val="none"/>
          <w:lang w:val="en-US" w:eastAsia="zh-CN"/>
        </w:rPr>
        <w:t>，</w:t>
      </w:r>
      <w:r>
        <w:rPr>
          <w:rFonts w:hint="eastAsia" w:ascii="仿宋" w:hAnsi="仿宋" w:eastAsia="仿宋" w:cs="仿宋"/>
          <w:kern w:val="0"/>
          <w:sz w:val="32"/>
          <w:szCs w:val="32"/>
          <w:highlight w:val="none"/>
          <w:lang w:val="en-US" w:eastAsia="zh-CN"/>
        </w:rPr>
        <w:t>评标委员会成员应指出每家投标人技术标的优点和存在的缺陷、签订合同前应注意和澄清的事项等情况。</w:t>
      </w:r>
    </w:p>
    <w:p>
      <w:pPr>
        <w:pStyle w:val="9"/>
        <w:ind w:firstLine="640" w:firstLineChars="20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rPr>
        <w:t>3、</w:t>
      </w:r>
      <w:r>
        <w:rPr>
          <w:rFonts w:hint="default" w:ascii="仿宋" w:hAnsi="仿宋" w:eastAsia="仿宋" w:cs="仿宋"/>
          <w:kern w:val="0"/>
          <w:sz w:val="32"/>
          <w:szCs w:val="32"/>
          <w:highlight w:val="none"/>
          <w:lang w:val="en-US" w:eastAsia="zh-CN"/>
        </w:rPr>
        <w:t>评委个人</w:t>
      </w:r>
      <w:r>
        <w:rPr>
          <w:rFonts w:hint="default" w:ascii="仿宋" w:hAnsi="仿宋" w:eastAsia="仿宋" w:cs="仿宋"/>
          <w:kern w:val="0"/>
          <w:sz w:val="32"/>
          <w:szCs w:val="32"/>
          <w:highlight w:val="none"/>
          <w:lang w:val="en-US" w:eastAsia="zh-CN" w:bidi="ar-SA"/>
        </w:rPr>
        <w:t>评审</w:t>
      </w:r>
      <w:r>
        <w:rPr>
          <w:rFonts w:hint="eastAsia" w:ascii="仿宋" w:hAnsi="仿宋" w:eastAsia="仿宋" w:cs="仿宋"/>
          <w:kern w:val="0"/>
          <w:sz w:val="32"/>
          <w:szCs w:val="32"/>
          <w:highlight w:val="none"/>
          <w:lang w:val="en-US" w:eastAsia="zh-CN" w:bidi="ar-SA"/>
        </w:rPr>
        <w:t>完成后，由评标委员会组长组织评标委员会成员按照技术标定性评审汇总表（附表3-3）汇总评审情况。</w:t>
      </w:r>
    </w:p>
    <w:p>
      <w:pPr>
        <w:pStyle w:val="7"/>
        <w:spacing w:line="540" w:lineRule="exact"/>
        <w:ind w:firstLine="640" w:firstLineChars="200"/>
        <w:rPr>
          <w:rFonts w:hint="eastAsia" w:ascii="仿宋" w:hAnsi="仿宋" w:eastAsia="仿宋" w:cs="仿宋"/>
          <w:kern w:val="0"/>
          <w:sz w:val="32"/>
          <w:szCs w:val="32"/>
          <w:highlight w:val="none"/>
          <w:lang w:val="en-US" w:eastAsia="zh-CN"/>
        </w:rPr>
      </w:pPr>
      <w:r>
        <w:rPr>
          <w:rFonts w:hint="eastAsia" w:ascii="黑体" w:hAnsi="黑体" w:eastAsia="黑体" w:cs="黑体"/>
          <w:sz w:val="32"/>
          <w:szCs w:val="32"/>
          <w:highlight w:val="none"/>
          <w:lang w:val="en-US" w:eastAsia="zh-CN"/>
        </w:rPr>
        <w:t>三、推荐定标候选</w:t>
      </w:r>
      <w:r>
        <w:rPr>
          <w:rFonts w:hint="eastAsia" w:ascii="黑体" w:hAnsi="黑体" w:eastAsia="黑体" w:cs="黑体"/>
          <w:sz w:val="32"/>
          <w:szCs w:val="32"/>
          <w:highlight w:val="none"/>
        </w:rPr>
        <w:t>人</w:t>
      </w:r>
    </w:p>
    <w:p>
      <w:pPr>
        <w:numPr>
          <w:ilvl w:val="0"/>
          <w:numId w:val="0"/>
        </w:numPr>
        <w:shd w:val="clear" w:color="auto" w:fill="FFFFFF"/>
        <w:ind w:firstLine="640" w:firstLineChars="200"/>
        <w:rPr>
          <w:rFonts w:hint="eastAsia" w:ascii="仿宋" w:hAnsi="仿宋" w:eastAsia="仿宋" w:cs="仿宋"/>
          <w:sz w:val="32"/>
          <w:szCs w:val="32"/>
          <w:highlight w:val="none"/>
          <w:lang w:val="en-US" w:eastAsia="zh-CN" w:bidi="ar"/>
        </w:rPr>
      </w:pPr>
      <w:r>
        <w:rPr>
          <w:rFonts w:hint="eastAsia" w:ascii="仿宋" w:hAnsi="仿宋" w:eastAsia="仿宋" w:cs="仿宋"/>
          <w:kern w:val="0"/>
          <w:sz w:val="32"/>
          <w:szCs w:val="32"/>
          <w:highlight w:val="none"/>
          <w:lang w:val="en-US" w:eastAsia="zh-CN"/>
        </w:rPr>
        <w:t>评标委员会向招标人推荐合格的定标候选人。</w:t>
      </w:r>
      <w:r>
        <w:rPr>
          <w:rFonts w:hint="default" w:ascii="仿宋" w:hAnsi="仿宋" w:eastAsia="仿宋" w:cs="仿宋"/>
          <w:kern w:val="0"/>
          <w:sz w:val="32"/>
          <w:szCs w:val="32"/>
          <w:highlight w:val="none"/>
          <w:lang w:val="en-US" w:eastAsia="zh-CN"/>
        </w:rPr>
        <w:t>推荐的</w:t>
      </w:r>
      <w:r>
        <w:rPr>
          <w:rFonts w:hint="eastAsia" w:ascii="仿宋" w:hAnsi="仿宋" w:eastAsia="仿宋" w:cs="仿宋"/>
          <w:kern w:val="0"/>
          <w:sz w:val="32"/>
          <w:szCs w:val="32"/>
          <w:highlight w:val="none"/>
          <w:lang w:val="en-US" w:eastAsia="zh-CN"/>
        </w:rPr>
        <w:t>定标候选人</w:t>
      </w:r>
      <w:r>
        <w:rPr>
          <w:rFonts w:hint="default" w:ascii="仿宋" w:hAnsi="仿宋" w:eastAsia="仿宋" w:cs="仿宋"/>
          <w:kern w:val="0"/>
          <w:sz w:val="32"/>
          <w:szCs w:val="32"/>
          <w:highlight w:val="none"/>
          <w:lang w:val="en-US" w:eastAsia="zh-CN"/>
        </w:rPr>
        <w:t>不排序，由招标人</w:t>
      </w:r>
      <w:r>
        <w:rPr>
          <w:rFonts w:hint="eastAsia" w:ascii="仿宋" w:hAnsi="仿宋" w:eastAsia="仿宋" w:cs="仿宋"/>
          <w:kern w:val="0"/>
          <w:sz w:val="32"/>
          <w:szCs w:val="32"/>
          <w:highlight w:val="none"/>
          <w:lang w:val="en-US" w:eastAsia="zh-CN"/>
        </w:rPr>
        <w:t>按照《自治区房屋建筑和市政基础设施工程建设项目招标“评定分离”操作指导规则（试行）》的要求，</w:t>
      </w:r>
      <w:r>
        <w:rPr>
          <w:rFonts w:hint="default" w:ascii="仿宋" w:hAnsi="仿宋" w:eastAsia="仿宋" w:cs="仿宋"/>
          <w:kern w:val="0"/>
          <w:sz w:val="32"/>
          <w:szCs w:val="32"/>
          <w:highlight w:val="none"/>
          <w:lang w:val="en-US" w:eastAsia="zh-CN"/>
        </w:rPr>
        <w:t>另行组织定标委员会进行定标程序。</w:t>
      </w:r>
    </w:p>
    <w:p>
      <w:pPr>
        <w:ind w:firstLine="643" w:firstLineChars="200"/>
        <w:rPr>
          <w:rFonts w:hint="eastAsia" w:ascii="仿宋" w:hAnsi="仿宋" w:eastAsia="仿宋" w:cs="仿宋"/>
          <w:b/>
          <w:bCs/>
          <w:sz w:val="32"/>
          <w:szCs w:val="32"/>
          <w:highlight w:val="none"/>
          <w:lang w:val="en-US" w:eastAsia="zh-CN" w:bidi="ar"/>
        </w:rPr>
      </w:pPr>
      <w:r>
        <w:rPr>
          <w:rFonts w:hint="eastAsia" w:ascii="仿宋" w:hAnsi="仿宋" w:eastAsia="仿宋" w:cs="仿宋"/>
          <w:b/>
          <w:bCs/>
          <w:sz w:val="32"/>
          <w:szCs w:val="32"/>
          <w:highlight w:val="none"/>
          <w:lang w:val="en-US" w:eastAsia="zh-CN" w:bidi="ar"/>
        </w:rPr>
        <w:t>备注：</w:t>
      </w:r>
    </w:p>
    <w:p>
      <w:pPr>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bidi="ar"/>
        </w:rPr>
        <w:t>经</w:t>
      </w:r>
      <w:r>
        <w:rPr>
          <w:rFonts w:hint="eastAsia" w:ascii="仿宋" w:hAnsi="仿宋" w:eastAsia="仿宋" w:cs="仿宋"/>
          <w:b/>
          <w:bCs/>
          <w:sz w:val="32"/>
          <w:szCs w:val="32"/>
          <w:highlight w:val="none"/>
          <w:lang w:val="en-US" w:eastAsia="zh-CN" w:bidi="ar"/>
        </w:rPr>
        <w:t>形式和资格</w:t>
      </w:r>
      <w:r>
        <w:rPr>
          <w:rFonts w:hint="eastAsia" w:ascii="仿宋" w:hAnsi="仿宋" w:eastAsia="仿宋" w:cs="仿宋"/>
          <w:b/>
          <w:bCs/>
          <w:sz w:val="32"/>
          <w:szCs w:val="32"/>
          <w:highlight w:val="none"/>
          <w:lang w:bidi="ar"/>
        </w:rPr>
        <w:t>评审</w:t>
      </w:r>
      <w:r>
        <w:rPr>
          <w:rFonts w:hint="eastAsia" w:ascii="仿宋" w:hAnsi="仿宋" w:eastAsia="仿宋" w:cs="仿宋"/>
          <w:b/>
          <w:bCs/>
          <w:sz w:val="32"/>
          <w:szCs w:val="32"/>
          <w:highlight w:val="none"/>
          <w:lang w:val="en-US" w:eastAsia="zh-CN" w:bidi="ar"/>
        </w:rPr>
        <w:t>后，</w:t>
      </w:r>
      <w:r>
        <w:rPr>
          <w:rFonts w:hint="eastAsia" w:ascii="仿宋" w:hAnsi="仿宋" w:eastAsia="仿宋" w:cs="仿宋"/>
          <w:b/>
          <w:bCs/>
          <w:sz w:val="32"/>
          <w:szCs w:val="32"/>
          <w:highlight w:val="none"/>
          <w:lang w:bidi="ar"/>
        </w:rPr>
        <w:t>若</w:t>
      </w:r>
      <w:r>
        <w:rPr>
          <w:rFonts w:hint="eastAsia" w:ascii="仿宋" w:hAnsi="仿宋" w:eastAsia="仿宋" w:cs="仿宋"/>
          <w:b/>
          <w:bCs/>
          <w:sz w:val="32"/>
          <w:szCs w:val="32"/>
          <w:highlight w:val="none"/>
          <w:lang w:val="en-US" w:eastAsia="zh-CN" w:bidi="ar"/>
        </w:rPr>
        <w:t>入围</w:t>
      </w:r>
      <w:r>
        <w:rPr>
          <w:rFonts w:hint="eastAsia" w:ascii="仿宋" w:hAnsi="仿宋" w:eastAsia="仿宋" w:cs="仿宋"/>
          <w:b/>
          <w:bCs/>
          <w:sz w:val="32"/>
          <w:szCs w:val="32"/>
          <w:highlight w:val="none"/>
          <w:lang w:bidi="ar"/>
        </w:rPr>
        <w:t>投标人不足X家则按名次递补，直至经评审的合格投标人不少于X家为止。</w:t>
      </w:r>
    </w:p>
    <w:p>
      <w:pPr>
        <w:ind w:firstLine="643" w:firstLineChars="200"/>
        <w:rPr>
          <w:rFonts w:ascii="仿宋_GB2312" w:hAnsi="Times New Roman" w:eastAsia="仿宋_GB2312" w:cs="Times New Roman"/>
          <w:b/>
          <w:bCs/>
          <w:sz w:val="28"/>
          <w:szCs w:val="28"/>
          <w:highlight w:val="none"/>
          <w:lang w:bidi="ar"/>
        </w:rPr>
      </w:pPr>
      <w:r>
        <w:rPr>
          <w:rFonts w:hint="eastAsia" w:ascii="仿宋" w:hAnsi="仿宋" w:eastAsia="仿宋" w:cs="仿宋"/>
          <w:b/>
          <w:bCs/>
          <w:sz w:val="32"/>
          <w:szCs w:val="32"/>
          <w:highlight w:val="none"/>
          <w:lang w:bidi="ar"/>
        </w:rPr>
        <w:t>出现全部有效投标人均进行了评审但合格投标人少于X时，如果合格投标人大于3家（含）则进入下一阶段；如果合格投标人小于3家，且评标委员会认为不具备竞争力的，招标人应当重新招标。</w:t>
      </w:r>
    </w:p>
    <w:p>
      <w:pPr>
        <w:rPr>
          <w:rFonts w:ascii="仿宋_GB2312" w:hAnsi="Times New Roman" w:eastAsia="仿宋_GB2312" w:cs="Times New Roman"/>
          <w:sz w:val="24"/>
          <w:highlight w:val="none"/>
        </w:rPr>
      </w:pPr>
      <w:r>
        <w:rPr>
          <w:rFonts w:ascii="仿宋_GB2312" w:hAnsi="Times New Roman" w:eastAsia="仿宋_GB2312" w:cs="Times New Roman"/>
          <w:sz w:val="28"/>
          <w:szCs w:val="28"/>
          <w:highlight w:val="none"/>
          <w:lang w:bidi="ar"/>
        </w:rPr>
        <w:t xml:space="preserve"> </w:t>
      </w: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ascii="宋体" w:hAnsi="宋体" w:eastAsia="宋体" w:cs="Times New Roman"/>
          <w:b/>
          <w:sz w:val="24"/>
          <w:highlight w:val="none"/>
        </w:rPr>
      </w:pPr>
      <w:r>
        <w:rPr>
          <w:rFonts w:hint="eastAsia" w:ascii="仿宋" w:hAnsi="仿宋" w:eastAsia="仿宋" w:cs="仿宋"/>
          <w:b/>
          <w:bCs/>
          <w:sz w:val="32"/>
          <w:szCs w:val="32"/>
          <w:highlight w:val="none"/>
        </w:rPr>
        <w:t>附表3-1</w:t>
      </w:r>
      <w:r>
        <w:rPr>
          <w:rFonts w:hint="eastAsia" w:ascii="宋体" w:hAnsi="宋体" w:eastAsia="宋体" w:cs="Times New Roman"/>
          <w:b/>
          <w:sz w:val="24"/>
          <w:highlight w:val="none"/>
          <w:lang w:bidi="ar"/>
        </w:rPr>
        <w:t xml:space="preserve"> </w:t>
      </w:r>
    </w:p>
    <w:tbl>
      <w:tblPr>
        <w:tblStyle w:val="15"/>
        <w:tblW w:w="8975" w:type="dxa"/>
        <w:tblInd w:w="-313" w:type="dxa"/>
        <w:tblLayout w:type="fixed"/>
        <w:tblCellMar>
          <w:top w:w="0" w:type="dxa"/>
          <w:left w:w="0" w:type="dxa"/>
          <w:bottom w:w="0" w:type="dxa"/>
          <w:right w:w="0" w:type="dxa"/>
        </w:tblCellMar>
      </w:tblPr>
      <w:tblGrid>
        <w:gridCol w:w="4041"/>
        <w:gridCol w:w="1625"/>
        <w:gridCol w:w="3309"/>
      </w:tblGrid>
      <w:tr>
        <w:tblPrEx>
          <w:tblCellMar>
            <w:top w:w="0" w:type="dxa"/>
            <w:left w:w="0" w:type="dxa"/>
            <w:bottom w:w="0" w:type="dxa"/>
            <w:right w:w="0" w:type="dxa"/>
          </w:tblCellMar>
        </w:tblPrEx>
        <w:trPr>
          <w:trHeight w:val="780" w:hRule="atLeast"/>
        </w:trPr>
        <w:tc>
          <w:tcPr>
            <w:tcW w:w="8975" w:type="dxa"/>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40"/>
                <w:szCs w:val="40"/>
                <w:highlight w:val="none"/>
              </w:rPr>
            </w:pPr>
            <w:r>
              <w:rPr>
                <w:rFonts w:hint="eastAsia" w:ascii="宋体" w:hAnsi="宋体" w:eastAsia="宋体" w:cs="宋体"/>
                <w:b/>
                <w:color w:val="000000"/>
                <w:kern w:val="0"/>
                <w:sz w:val="40"/>
                <w:szCs w:val="40"/>
                <w:highlight w:val="none"/>
                <w:lang w:bidi="ar"/>
              </w:rPr>
              <w:t>定性评审法价格切线计算表</w:t>
            </w:r>
          </w:p>
        </w:tc>
      </w:tr>
      <w:tr>
        <w:tblPrEx>
          <w:tblCellMar>
            <w:top w:w="0" w:type="dxa"/>
            <w:left w:w="0" w:type="dxa"/>
            <w:bottom w:w="0" w:type="dxa"/>
            <w:right w:w="0" w:type="dxa"/>
          </w:tblCellMar>
        </w:tblPrEx>
        <w:trPr>
          <w:trHeight w:val="270" w:hRule="atLeast"/>
        </w:trPr>
        <w:tc>
          <w:tcPr>
            <w:tcW w:w="4041"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b/>
                <w:color w:val="000000"/>
                <w:kern w:val="0"/>
                <w:sz w:val="24"/>
                <w:szCs w:val="24"/>
                <w:highlight w:val="none"/>
                <w:lang w:bidi="ar"/>
              </w:rPr>
              <w:t>项目名称：</w:t>
            </w:r>
          </w:p>
        </w:tc>
        <w:tc>
          <w:tcPr>
            <w:tcW w:w="162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33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00"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招标控制价</w:t>
            </w:r>
          </w:p>
        </w:tc>
        <w:tc>
          <w:tcPr>
            <w:tcW w:w="493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40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其中：</w:t>
            </w:r>
          </w:p>
        </w:tc>
        <w:tc>
          <w:tcPr>
            <w:tcW w:w="1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暂列金</w:t>
            </w:r>
          </w:p>
        </w:tc>
        <w:tc>
          <w:tcPr>
            <w:tcW w:w="330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4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cs="Times New Roman"/>
                <w:sz w:val="20"/>
                <w:szCs w:val="20"/>
                <w:highlight w:val="none"/>
              </w:rPr>
            </w:pPr>
          </w:p>
        </w:tc>
        <w:tc>
          <w:tcPr>
            <w:tcW w:w="1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专业工程暂估</w:t>
            </w:r>
          </w:p>
        </w:tc>
        <w:tc>
          <w:tcPr>
            <w:tcW w:w="330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4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cs="Times New Roman"/>
                <w:sz w:val="20"/>
                <w:szCs w:val="20"/>
                <w:highlight w:val="none"/>
              </w:rPr>
            </w:pPr>
          </w:p>
        </w:tc>
        <w:tc>
          <w:tcPr>
            <w:tcW w:w="1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材料暂估</w:t>
            </w:r>
          </w:p>
        </w:tc>
        <w:tc>
          <w:tcPr>
            <w:tcW w:w="330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4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cs="Times New Roman"/>
                <w:sz w:val="20"/>
                <w:szCs w:val="20"/>
                <w:highlight w:val="none"/>
              </w:rPr>
            </w:pPr>
          </w:p>
        </w:tc>
        <w:tc>
          <w:tcPr>
            <w:tcW w:w="16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甲供材料</w:t>
            </w:r>
          </w:p>
        </w:tc>
        <w:tc>
          <w:tcPr>
            <w:tcW w:w="330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540"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控制价可竞争部分的下浮率K</w:t>
            </w:r>
          </w:p>
        </w:tc>
        <w:tc>
          <w:tcPr>
            <w:tcW w:w="493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评标基准价中控制价权重K1</w:t>
            </w:r>
          </w:p>
        </w:tc>
        <w:tc>
          <w:tcPr>
            <w:tcW w:w="493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投标报价基准价</w:t>
            </w:r>
          </w:p>
        </w:tc>
        <w:tc>
          <w:tcPr>
            <w:tcW w:w="493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宋体" w:eastAsia="仿宋_GB2312" w:cs="仿宋_GB2312"/>
                <w:color w:val="000000"/>
                <w:sz w:val="24"/>
                <w:highlight w:val="none"/>
              </w:rPr>
            </w:pPr>
            <w:r>
              <w:rPr>
                <w:rFonts w:hint="eastAsia" w:ascii="宋体" w:hAnsi="宋体" w:eastAsia="宋体" w:cs="宋体"/>
                <w:color w:val="000000"/>
                <w:kern w:val="0"/>
                <w:sz w:val="24"/>
                <w:highlight w:val="none"/>
                <w:lang w:bidi="ar"/>
              </w:rPr>
              <w:t>随机下浮率K2</w:t>
            </w:r>
          </w:p>
        </w:tc>
        <w:tc>
          <w:tcPr>
            <w:tcW w:w="493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400" w:hRule="atLeast"/>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评标价格切线</w:t>
            </w:r>
          </w:p>
        </w:tc>
        <w:tc>
          <w:tcPr>
            <w:tcW w:w="493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285" w:hRule="atLeast"/>
        </w:trPr>
        <w:tc>
          <w:tcPr>
            <w:tcW w:w="5666"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highlight w:val="none"/>
              </w:rPr>
            </w:pPr>
          </w:p>
        </w:tc>
        <w:tc>
          <w:tcPr>
            <w:tcW w:w="330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highlight w:val="none"/>
              </w:rPr>
            </w:pPr>
          </w:p>
        </w:tc>
      </w:tr>
    </w:tbl>
    <w:p>
      <w:pPr>
        <w:rPr>
          <w:rFonts w:ascii="宋体" w:hAnsi="宋体" w:eastAsia="宋体" w:cs="Times New Roman"/>
          <w:szCs w:val="21"/>
          <w:highlight w:val="none"/>
        </w:rPr>
      </w:pPr>
      <w:r>
        <w:rPr>
          <w:rFonts w:hint="eastAsia" w:ascii="宋体" w:hAnsi="宋体" w:eastAsia="宋体" w:cs="Times New Roman"/>
          <w:szCs w:val="21"/>
          <w:highlight w:val="none"/>
          <w:lang w:bidi="ar"/>
        </w:rPr>
        <w:br w:type="page"/>
      </w:r>
    </w:p>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附表3-</w:t>
      </w:r>
      <w:r>
        <w:rPr>
          <w:rFonts w:hint="eastAsia" w:ascii="仿宋" w:hAnsi="仿宋" w:eastAsia="仿宋" w:cs="仿宋"/>
          <w:b/>
          <w:bCs/>
          <w:sz w:val="32"/>
          <w:szCs w:val="32"/>
          <w:highlight w:val="none"/>
          <w:lang w:val="en-US" w:eastAsia="zh-CN"/>
        </w:rPr>
        <w:t>2</w:t>
      </w:r>
    </w:p>
    <w:tbl>
      <w:tblPr>
        <w:tblStyle w:val="15"/>
        <w:tblpPr w:leftFromText="180" w:rightFromText="180" w:vertAnchor="text" w:horzAnchor="page" w:tblpX="1078" w:tblpY="329"/>
        <w:tblOverlap w:val="never"/>
        <w:tblW w:w="9796" w:type="dxa"/>
        <w:tblInd w:w="0" w:type="dxa"/>
        <w:tblLayout w:type="fixed"/>
        <w:tblCellMar>
          <w:top w:w="0" w:type="dxa"/>
          <w:left w:w="0" w:type="dxa"/>
          <w:bottom w:w="0" w:type="dxa"/>
          <w:right w:w="0" w:type="dxa"/>
        </w:tblCellMar>
      </w:tblPr>
      <w:tblGrid>
        <w:gridCol w:w="635"/>
        <w:gridCol w:w="1391"/>
        <w:gridCol w:w="3965"/>
        <w:gridCol w:w="1835"/>
        <w:gridCol w:w="1970"/>
      </w:tblGrid>
      <w:tr>
        <w:tblPrEx>
          <w:tblCellMar>
            <w:top w:w="0" w:type="dxa"/>
            <w:left w:w="0" w:type="dxa"/>
            <w:bottom w:w="0" w:type="dxa"/>
            <w:right w:w="0" w:type="dxa"/>
          </w:tblCellMar>
        </w:tblPrEx>
        <w:trPr>
          <w:trHeight w:val="510" w:hRule="atLeast"/>
        </w:trPr>
        <w:tc>
          <w:tcPr>
            <w:tcW w:w="9796" w:type="dxa"/>
            <w:gridSpan w:val="5"/>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r>
              <w:rPr>
                <w:rFonts w:hint="eastAsia" w:ascii="宋体" w:hAnsi="宋体" w:eastAsia="宋体" w:cs="宋体"/>
                <w:b/>
                <w:color w:val="000000"/>
                <w:kern w:val="0"/>
                <w:sz w:val="36"/>
                <w:szCs w:val="36"/>
                <w:highlight w:val="none"/>
                <w:lang w:bidi="ar"/>
              </w:rPr>
              <w:t>技术标</w:t>
            </w:r>
            <w:r>
              <w:rPr>
                <w:rFonts w:hint="eastAsia" w:ascii="宋体" w:hAnsi="宋体" w:eastAsia="宋体" w:cs="宋体"/>
                <w:b/>
                <w:color w:val="000000"/>
                <w:kern w:val="0"/>
                <w:sz w:val="36"/>
                <w:szCs w:val="36"/>
                <w:highlight w:val="none"/>
                <w:lang w:val="en-US" w:eastAsia="zh-CN" w:bidi="ar"/>
              </w:rPr>
              <w:t>评审标准</w:t>
            </w:r>
          </w:p>
        </w:tc>
      </w:tr>
      <w:tr>
        <w:tblPrEx>
          <w:tblCellMar>
            <w:top w:w="0" w:type="dxa"/>
            <w:left w:w="0" w:type="dxa"/>
            <w:bottom w:w="0" w:type="dxa"/>
            <w:right w:w="0" w:type="dxa"/>
          </w:tblCellMar>
        </w:tblPrEx>
        <w:trPr>
          <w:trHeight w:val="405" w:hRule="atLeast"/>
        </w:trPr>
        <w:tc>
          <w:tcPr>
            <w:tcW w:w="5991" w:type="dxa"/>
            <w:gridSpan w:val="3"/>
            <w:tcBorders>
              <w:top w:val="nil"/>
              <w:left w:val="nil"/>
              <w:bottom w:val="nil"/>
              <w:right w:val="nil"/>
            </w:tcBorders>
            <w:shd w:val="clear" w:color="auto" w:fill="auto"/>
            <w:noWrap/>
            <w:tcMar>
              <w:top w:w="15" w:type="dxa"/>
              <w:left w:w="15" w:type="dxa"/>
              <w:right w:w="15" w:type="dxa"/>
            </w:tcMar>
            <w:vAlign w:val="center"/>
          </w:tcPr>
          <w:p>
            <w:pPr>
              <w:jc w:val="left"/>
              <w:rPr>
                <w:rFonts w:ascii="黑体" w:hAnsi="宋体" w:eastAsia="黑体" w:cs="黑体"/>
                <w:b/>
                <w:color w:val="000000"/>
                <w:sz w:val="32"/>
                <w:szCs w:val="32"/>
                <w:highlight w:val="none"/>
              </w:rPr>
            </w:pPr>
            <w:r>
              <w:rPr>
                <w:rFonts w:hint="eastAsia" w:ascii="宋体" w:hAnsi="宋体" w:eastAsia="宋体" w:cs="宋体"/>
                <w:b/>
                <w:color w:val="000000"/>
                <w:kern w:val="0"/>
                <w:sz w:val="24"/>
                <w:szCs w:val="24"/>
                <w:highlight w:val="none"/>
                <w:lang w:bidi="ar"/>
              </w:rPr>
              <w:t>项目名称：</w:t>
            </w:r>
          </w:p>
        </w:tc>
        <w:tc>
          <w:tcPr>
            <w:tcW w:w="1835" w:type="dxa"/>
            <w:tcBorders>
              <w:top w:val="nil"/>
              <w:left w:val="nil"/>
              <w:bottom w:val="nil"/>
              <w:right w:val="nil"/>
            </w:tcBorders>
            <w:shd w:val="clear" w:color="auto" w:fill="auto"/>
            <w:noWrap/>
            <w:tcMar>
              <w:top w:w="15" w:type="dxa"/>
              <w:left w:w="15" w:type="dxa"/>
              <w:right w:w="15" w:type="dxa"/>
            </w:tcMar>
            <w:vAlign w:val="center"/>
          </w:tcPr>
          <w:p>
            <w:pPr>
              <w:jc w:val="center"/>
              <w:rPr>
                <w:rFonts w:ascii="黑体" w:hAnsi="宋体" w:eastAsia="黑体" w:cs="黑体"/>
                <w:b/>
                <w:color w:val="000000"/>
                <w:sz w:val="32"/>
                <w:szCs w:val="32"/>
                <w:highlight w:val="none"/>
              </w:rPr>
            </w:pPr>
          </w:p>
        </w:tc>
        <w:tc>
          <w:tcPr>
            <w:tcW w:w="19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1756" w:hRule="atLeast"/>
        </w:trPr>
        <w:tc>
          <w:tcPr>
            <w:tcW w:w="6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序号</w:t>
            </w:r>
          </w:p>
        </w:tc>
        <w:tc>
          <w:tcPr>
            <w:tcW w:w="13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评审项目</w:t>
            </w:r>
          </w:p>
        </w:tc>
        <w:tc>
          <w:tcPr>
            <w:tcW w:w="396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评审标准</w:t>
            </w:r>
          </w:p>
        </w:tc>
        <w:tc>
          <w:tcPr>
            <w:tcW w:w="18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优点</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highlight w:val="none"/>
                <w:lang w:val="en-US" w:eastAsia="zh-CN" w:bidi="ar"/>
              </w:rPr>
            </w:pPr>
            <w:r>
              <w:rPr>
                <w:rFonts w:hint="eastAsia" w:ascii="宋体" w:hAnsi="宋体" w:eastAsia="宋体" w:cs="宋体"/>
                <w:b/>
                <w:color w:val="000000"/>
                <w:kern w:val="0"/>
                <w:sz w:val="24"/>
                <w:highlight w:val="none"/>
                <w:lang w:val="en-US" w:eastAsia="zh-CN" w:bidi="ar"/>
              </w:rPr>
              <w:t>存在缺陷或签订合同前应注意和澄清事项</w:t>
            </w:r>
          </w:p>
        </w:tc>
      </w:tr>
      <w:tr>
        <w:tblPrEx>
          <w:tblCellMar>
            <w:top w:w="0" w:type="dxa"/>
            <w:left w:w="0" w:type="dxa"/>
            <w:bottom w:w="0" w:type="dxa"/>
            <w:right w:w="0" w:type="dxa"/>
          </w:tblCellMar>
        </w:tblPrEx>
        <w:trPr>
          <w:trHeight w:val="4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4" w:leftChars="0" w:right="0"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工程概况</w:t>
            </w:r>
          </w:p>
          <w:p>
            <w:pPr>
              <w:pStyle w:val="29"/>
              <w:spacing w:before="42"/>
              <w:ind w:left="4" w:leftChars="0" w:right="0" w:righ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及特点</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4" w:leftChars="0" w:right="0" w:rightChars="0"/>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对工程总体概况及特点表述清晰、完整、符合实际</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rPr>
          <w:trHeight w:val="4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施工准备</w:t>
            </w:r>
          </w:p>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计划</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施工技术、现场、物资与机械、队伍准备计划充分保证工程需要</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7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施工方案</w:t>
            </w:r>
          </w:p>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与技术措施</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42"/>
              <w:ind w:left="4"/>
              <w:jc w:val="both"/>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施工方案符合工程实际情况，部署及措施先进、可靠</w:t>
            </w:r>
            <w:r>
              <w:rPr>
                <w:rFonts w:hint="eastAsia" w:eastAsiaTheme="minorEastAsia" w:cstheme="minorBidi"/>
                <w:color w:val="000000"/>
                <w:kern w:val="0"/>
                <w:sz w:val="24"/>
                <w:szCs w:val="24"/>
                <w:highlight w:val="none"/>
                <w:lang w:val="en-US" w:eastAsia="zh-CN" w:bidi="ar-SA"/>
              </w:rPr>
              <w:t>；</w:t>
            </w:r>
            <w:r>
              <w:rPr>
                <w:rFonts w:hint="eastAsia" w:ascii="宋体" w:hAnsi="宋体" w:eastAsiaTheme="minorEastAsia" w:cstheme="minorBidi"/>
                <w:color w:val="000000"/>
                <w:kern w:val="0"/>
                <w:sz w:val="24"/>
                <w:szCs w:val="24"/>
                <w:highlight w:val="none"/>
                <w:lang w:val="en-US" w:eastAsia="zh-CN" w:bidi="ar-SA"/>
              </w:rPr>
              <w:t>针对项目的重点、难点分析应透彻，解决方案切实可行；</w:t>
            </w:r>
          </w:p>
          <w:p>
            <w:pPr>
              <w:widowControl/>
              <w:jc w:val="both"/>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市政基础设施项目，交通组织规划合理、可行，交通组织措施得力。</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379"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4</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施工进度</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计划</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进度计划应在空间和时间上做合理的统筹安排且符合施工的科学规律</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34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5</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施工平面</w:t>
            </w:r>
          </w:p>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布置</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施工平面布置应符合工程实际，有针对性、布置合理，满足施工需要，便于施工和管理并符合安全、文明生产要求。</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6</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劳动力</w:t>
            </w:r>
          </w:p>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需用量计划</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劳动力投入计划与施工部署、施工方法及进度计划能够相互呼应并较好满足施工需要</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2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7</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材料</w:t>
            </w:r>
          </w:p>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需用量计划</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材料投入计划与施工部署、施工方法及进度计划能够相互呼应并较好满足施工需要</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371"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8</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机械设备</w:t>
            </w:r>
          </w:p>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需用量计划</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机械投入计划与施工部署、施工方法及进度计划能够相互呼应并较好满足施工需要</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349"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9</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质量保证</w:t>
            </w:r>
          </w:p>
          <w:p>
            <w:pPr>
              <w:pStyle w:val="29"/>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措施和体系</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保证措施应符合科学的施工规律、国家规定的强制性标准并有针对性，同时要符合实际情况，切实可行。质量目标明确，管理机构健全，职责分工明确；管理制度齐全；实施措施全面、有效。</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42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10</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工期保证</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措施和体系</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总工期及节点工期满足招标文件要求；施工进度计划内容全面，线路清晰、准确、完整，计划编制合理、可行；措施有力、合理、可行。</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11</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zh-CN" w:eastAsia="zh-CN" w:bidi="ar-SA"/>
              </w:rPr>
              <w:t>安全保证</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zh-CN" w:eastAsia="zh-CN" w:bidi="ar-SA"/>
              </w:rPr>
              <w:t>措施和体系</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jc w:val="both"/>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en-US" w:eastAsia="zh-CN" w:bidi="ar-SA"/>
              </w:rPr>
              <w:t>保证措施应符合国家及自治区规定的强制性标准并有针对性，同时要符合实际</w:t>
            </w:r>
            <w:r>
              <w:rPr>
                <w:rFonts w:hint="default" w:ascii="宋体" w:hAnsi="宋体" w:eastAsiaTheme="minorEastAsia" w:cstheme="minorBidi"/>
                <w:color w:val="000000"/>
                <w:kern w:val="0"/>
                <w:sz w:val="24"/>
                <w:szCs w:val="24"/>
                <w:highlight w:val="none"/>
                <w:lang w:val="en-US" w:eastAsia="zh-CN" w:bidi="ar-SA"/>
              </w:rPr>
              <w:t>情况，切实可行。</w:t>
            </w:r>
          </w:p>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zh-CN" w:eastAsia="zh-CN" w:bidi="ar-SA"/>
              </w:rPr>
              <w:t>安全目标明确，优于招标文件要求；管理机构健全，职责分工明确；管理制度齐全；实施与监控措施全面、有效。</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12</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zh-CN" w:eastAsia="zh-CN" w:bidi="ar-SA"/>
              </w:rPr>
            </w:pPr>
            <w:r>
              <w:rPr>
                <w:rFonts w:hint="eastAsia" w:ascii="宋体" w:hAnsi="宋体" w:eastAsiaTheme="minorEastAsia" w:cstheme="minorBidi"/>
                <w:color w:val="000000"/>
                <w:kern w:val="0"/>
                <w:sz w:val="24"/>
                <w:szCs w:val="24"/>
                <w:highlight w:val="none"/>
                <w:lang w:val="zh-CN" w:eastAsia="zh-CN" w:bidi="ar-SA"/>
              </w:rPr>
              <w:t>现场文明</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zh-CN" w:eastAsia="zh-CN" w:bidi="ar-SA"/>
              </w:rPr>
              <w:t>施工措施</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zh-CN" w:eastAsia="zh-CN" w:bidi="ar-SA"/>
              </w:rPr>
              <w:t>管理措施目标明确，符合工程实际情况，切实可行；管理机构健全，职责分工明确；管理制度齐全；</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13</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智慧工地</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及防疫措施</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智慧工地</w:t>
            </w:r>
            <w:r>
              <w:rPr>
                <w:rFonts w:hint="eastAsia" w:eastAsiaTheme="minorEastAsia" w:cstheme="minorBidi"/>
                <w:color w:val="000000"/>
                <w:kern w:val="0"/>
                <w:sz w:val="24"/>
                <w:szCs w:val="24"/>
                <w:highlight w:val="none"/>
                <w:lang w:val="en-US" w:eastAsia="zh-CN" w:bidi="ar-SA"/>
              </w:rPr>
              <w:t>系统应用实施方案</w:t>
            </w:r>
            <w:r>
              <w:rPr>
                <w:rFonts w:hint="eastAsia" w:ascii="宋体" w:hAnsi="宋体" w:eastAsiaTheme="minorEastAsia" w:cstheme="minorBidi"/>
                <w:color w:val="000000"/>
                <w:kern w:val="0"/>
                <w:sz w:val="24"/>
                <w:szCs w:val="24"/>
                <w:highlight w:val="none"/>
                <w:lang w:val="en-US" w:eastAsia="zh-CN" w:bidi="ar-SA"/>
              </w:rPr>
              <w:t>、防疫措施切实可行。</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14</w:t>
            </w: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Theme="minorEastAsia" w:cstheme="minorBidi"/>
                <w:color w:val="000000"/>
                <w:kern w:val="0"/>
                <w:sz w:val="24"/>
                <w:szCs w:val="24"/>
                <w:highlight w:val="none"/>
                <w:lang w:val="en-US" w:eastAsia="zh-CN" w:bidi="ar-SA"/>
              </w:rPr>
              <w:t>BIM技术应用</w:t>
            </w:r>
          </w:p>
          <w:p>
            <w:pPr>
              <w:pStyle w:val="29"/>
              <w:spacing w:before="32"/>
              <w:ind w:left="4" w:leftChars="0"/>
              <w:jc w:val="center"/>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（如有）</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宋体" w:cs="宋体"/>
                <w:color w:val="000000"/>
                <w:kern w:val="0"/>
                <w:sz w:val="24"/>
                <w:highlight w:val="none"/>
                <w:lang w:val="en-US" w:eastAsia="zh-CN"/>
              </w:rPr>
            </w:pPr>
            <w:r>
              <w:rPr>
                <w:rFonts w:hint="eastAsia" w:ascii="宋体" w:hAnsi="宋体" w:eastAsiaTheme="minorEastAsia" w:cstheme="minorBidi"/>
                <w:color w:val="000000"/>
                <w:kern w:val="0"/>
                <w:sz w:val="24"/>
                <w:szCs w:val="24"/>
                <w:highlight w:val="none"/>
                <w:lang w:val="en-US" w:eastAsia="zh-CN" w:bidi="ar-SA"/>
              </w:rPr>
              <w:t>BIM技术应用管理体系健全，管理制度、保障措施齐全；BIM应用流程与计划完整、有效；重点工艺节点及施工流程BIM三维模型科学、合理等。</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highlight w:val="none"/>
                <w:lang w:val="en-US" w:eastAsia="zh-CN"/>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center"/>
              <w:rPr>
                <w:rFonts w:hint="eastAsia" w:ascii="宋体" w:hAnsi="宋体" w:eastAsiaTheme="minorEastAsia" w:cstheme="minorBidi"/>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w:t>
            </w:r>
          </w:p>
        </w:tc>
        <w:tc>
          <w:tcPr>
            <w:tcW w:w="3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9"/>
              <w:spacing w:before="32"/>
              <w:ind w:left="4" w:leftChars="0"/>
              <w:jc w:val="both"/>
              <w:rPr>
                <w:rFonts w:hint="eastAsia" w:ascii="宋体" w:hAnsi="宋体" w:eastAsiaTheme="minorEastAsia" w:cstheme="minorBidi"/>
                <w:color w:val="000000"/>
                <w:kern w:val="0"/>
                <w:sz w:val="24"/>
                <w:szCs w:val="24"/>
                <w:highlight w:val="none"/>
                <w:lang w:val="en-US" w:eastAsia="zh-CN" w:bidi="ar-SA"/>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highlight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highlight w:val="none"/>
              </w:rPr>
            </w:pPr>
          </w:p>
        </w:tc>
      </w:tr>
      <w:tr>
        <w:tblPrEx>
          <w:tblCellMar>
            <w:top w:w="0" w:type="dxa"/>
            <w:left w:w="0" w:type="dxa"/>
            <w:bottom w:w="0" w:type="dxa"/>
            <w:right w:w="0" w:type="dxa"/>
          </w:tblCellMar>
        </w:tblPrEx>
        <w:trPr>
          <w:trHeight w:val="620" w:hRule="atLeast"/>
        </w:trPr>
        <w:tc>
          <w:tcPr>
            <w:tcW w:w="97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备注：1、本表适用于专家独立评审使用；</w:t>
            </w:r>
          </w:p>
          <w:p>
            <w:pPr>
              <w:ind w:firstLine="660" w:firstLineChars="300"/>
              <w:jc w:val="both"/>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2、评审时需指出各评审项的优点、存在缺陷或签订合同前应注意和澄清事项；</w:t>
            </w:r>
          </w:p>
          <w:p>
            <w:pPr>
              <w:jc w:val="both"/>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3、评委在评审时可参照附表1-5备注中的《技术标评审要素》进行综合评定。</w:t>
            </w:r>
          </w:p>
        </w:tc>
      </w:tr>
    </w:tbl>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p>
    <w:p>
      <w:pPr>
        <w:spacing w:line="44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附表3-</w:t>
      </w:r>
      <w:r>
        <w:rPr>
          <w:rFonts w:hint="eastAsia" w:ascii="仿宋" w:hAnsi="仿宋" w:eastAsia="仿宋" w:cs="仿宋"/>
          <w:b/>
          <w:bCs/>
          <w:sz w:val="32"/>
          <w:szCs w:val="32"/>
          <w:highlight w:val="none"/>
          <w:lang w:val="en-US" w:eastAsia="zh-CN"/>
        </w:rPr>
        <w:t>3</w:t>
      </w:r>
    </w:p>
    <w:tbl>
      <w:tblPr>
        <w:tblStyle w:val="15"/>
        <w:tblW w:w="8310" w:type="dxa"/>
        <w:tblInd w:w="93" w:type="dxa"/>
        <w:tblLayout w:type="autofit"/>
        <w:tblCellMar>
          <w:top w:w="0" w:type="dxa"/>
          <w:left w:w="0" w:type="dxa"/>
          <w:bottom w:w="0" w:type="dxa"/>
          <w:right w:w="0" w:type="dxa"/>
        </w:tblCellMar>
      </w:tblPr>
      <w:tblGrid>
        <w:gridCol w:w="1080"/>
        <w:gridCol w:w="1515"/>
        <w:gridCol w:w="1515"/>
        <w:gridCol w:w="2100"/>
        <w:gridCol w:w="2100"/>
      </w:tblGrid>
      <w:tr>
        <w:tblPrEx>
          <w:tblCellMar>
            <w:top w:w="0" w:type="dxa"/>
            <w:left w:w="0" w:type="dxa"/>
            <w:bottom w:w="0" w:type="dxa"/>
            <w:right w:w="0" w:type="dxa"/>
          </w:tblCellMar>
        </w:tblPrEx>
        <w:trPr>
          <w:trHeight w:val="465" w:hRule="atLeast"/>
        </w:trPr>
        <w:tc>
          <w:tcPr>
            <w:tcW w:w="8310" w:type="dxa"/>
            <w:gridSpan w:val="5"/>
            <w:tcBorders>
              <w:top w:val="nil"/>
              <w:left w:val="nil"/>
              <w:bottom w:val="nil"/>
              <w:right w:val="nil"/>
            </w:tcBorders>
            <w:shd w:val="clear" w:color="auto" w:fill="auto"/>
            <w:noWrap/>
            <w:tcMar>
              <w:top w:w="15" w:type="dxa"/>
              <w:left w:w="15" w:type="dxa"/>
              <w:right w:w="15" w:type="dxa"/>
            </w:tcMar>
            <w:vAlign w:val="center"/>
          </w:tcPr>
          <w:p>
            <w:pPr>
              <w:jc w:val="center"/>
              <w:rPr>
                <w:rFonts w:ascii="等线" w:hAnsi="等线" w:eastAsia="等线" w:cs="等线"/>
                <w:b/>
                <w:color w:val="000000"/>
                <w:sz w:val="36"/>
                <w:szCs w:val="36"/>
                <w:highlight w:val="none"/>
              </w:rPr>
            </w:pPr>
            <w:r>
              <w:rPr>
                <w:rFonts w:hint="eastAsia" w:ascii="宋体" w:hAnsi="宋体" w:eastAsia="宋体" w:cs="宋体"/>
                <w:b/>
                <w:color w:val="000000"/>
                <w:kern w:val="0"/>
                <w:sz w:val="40"/>
                <w:szCs w:val="40"/>
                <w:highlight w:val="none"/>
                <w:lang w:bidi="ar"/>
              </w:rPr>
              <w:t>技术标定性评审</w:t>
            </w:r>
            <w:r>
              <w:rPr>
                <w:rFonts w:hint="eastAsia" w:ascii="宋体" w:hAnsi="宋体" w:eastAsia="宋体" w:cs="宋体"/>
                <w:b/>
                <w:color w:val="000000"/>
                <w:kern w:val="0"/>
                <w:sz w:val="40"/>
                <w:szCs w:val="40"/>
                <w:highlight w:val="none"/>
                <w:lang w:val="en-US" w:eastAsia="zh-CN" w:bidi="ar"/>
              </w:rPr>
              <w:t>汇总</w:t>
            </w:r>
            <w:r>
              <w:rPr>
                <w:rFonts w:hint="eastAsia" w:ascii="宋体" w:hAnsi="宋体" w:eastAsia="宋体" w:cs="宋体"/>
                <w:b/>
                <w:color w:val="000000"/>
                <w:kern w:val="0"/>
                <w:sz w:val="40"/>
                <w:szCs w:val="40"/>
                <w:highlight w:val="none"/>
                <w:lang w:bidi="ar"/>
              </w:rPr>
              <w:t>表</w:t>
            </w:r>
          </w:p>
        </w:tc>
      </w:tr>
      <w:tr>
        <w:tblPrEx>
          <w:tblCellMar>
            <w:top w:w="0" w:type="dxa"/>
            <w:left w:w="0" w:type="dxa"/>
            <w:bottom w:w="0" w:type="dxa"/>
            <w:right w:w="0" w:type="dxa"/>
          </w:tblCellMar>
        </w:tblPrEx>
        <w:trPr>
          <w:trHeight w:val="480"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等线" w:hAnsi="等线" w:eastAsia="等线" w:cs="等线"/>
                <w:color w:val="000000"/>
                <w:szCs w:val="21"/>
                <w:highlight w:val="none"/>
              </w:rPr>
            </w:pPr>
            <w:r>
              <w:rPr>
                <w:rFonts w:hint="eastAsia" w:ascii="宋体" w:hAnsi="宋体" w:eastAsia="宋体" w:cs="宋体"/>
                <w:b/>
                <w:color w:val="000000"/>
                <w:kern w:val="0"/>
                <w:sz w:val="24"/>
                <w:szCs w:val="24"/>
                <w:highlight w:val="none"/>
                <w:lang w:bidi="ar"/>
              </w:rPr>
              <w:t xml:space="preserve">项目名称： </w:t>
            </w:r>
          </w:p>
        </w:tc>
      </w:tr>
      <w:tr>
        <w:tblPrEx>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序号</w:t>
            </w: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评审项目</w:t>
            </w: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评审内容</w:t>
            </w: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优点</w:t>
            </w: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存在缺陷或签订合同前应注意和澄清事项</w:t>
            </w:r>
          </w:p>
        </w:tc>
      </w:tr>
      <w:tr>
        <w:tblPrEx>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r>
      <w:tr>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1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highlight w:val="none"/>
              </w:rPr>
            </w:pPr>
          </w:p>
        </w:tc>
        <w:tc>
          <w:tcPr>
            <w:tcW w:w="2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highlight w:val="none"/>
              </w:rPr>
            </w:pPr>
          </w:p>
        </w:tc>
      </w:tr>
      <w:tr>
        <w:tblPrEx>
          <w:tblCellMar>
            <w:top w:w="0" w:type="dxa"/>
            <w:left w:w="0" w:type="dxa"/>
            <w:bottom w:w="0" w:type="dxa"/>
            <w:right w:w="0" w:type="dxa"/>
          </w:tblCellMar>
        </w:tblPrEx>
        <w:trPr>
          <w:trHeight w:val="560" w:hRule="atLeast"/>
        </w:trPr>
        <w:tc>
          <w:tcPr>
            <w:tcW w:w="8310" w:type="dxa"/>
            <w:gridSpan w:val="5"/>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i w:val="0"/>
                <w:color w:val="000000"/>
                <w:kern w:val="0"/>
                <w:sz w:val="22"/>
                <w:szCs w:val="22"/>
                <w:highlight w:val="none"/>
                <w:lang w:val="en-US" w:eastAsia="zh-CN" w:bidi="ar"/>
              </w:rPr>
              <w:t>评标委员会签字：</w:t>
            </w:r>
          </w:p>
        </w:tc>
      </w:tr>
      <w:tr>
        <w:tblPrEx>
          <w:tblCellMar>
            <w:top w:w="0" w:type="dxa"/>
            <w:left w:w="0" w:type="dxa"/>
            <w:bottom w:w="0" w:type="dxa"/>
            <w:right w:w="0" w:type="dxa"/>
          </w:tblCellMar>
        </w:tblPrEx>
        <w:trPr>
          <w:trHeight w:val="270" w:hRule="atLeast"/>
        </w:trPr>
        <w:tc>
          <w:tcPr>
            <w:tcW w:w="8310"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r>
              <w:rPr>
                <w:rFonts w:hint="eastAsia" w:ascii="宋体" w:hAnsi="宋体" w:eastAsia="宋体" w:cs="宋体"/>
                <w:i w:val="0"/>
                <w:color w:val="000000"/>
                <w:kern w:val="0"/>
                <w:sz w:val="22"/>
                <w:szCs w:val="22"/>
                <w:highlight w:val="none"/>
                <w:lang w:val="en-US" w:eastAsia="zh-CN" w:bidi="ar"/>
              </w:rPr>
              <w:t>注：由评标委员会组长组织评标委员会成员</w:t>
            </w:r>
            <w:r>
              <w:rPr>
                <w:rFonts w:hint="eastAsia" w:ascii="宋体" w:hAnsi="宋体" w:cs="宋体"/>
                <w:i w:val="0"/>
                <w:color w:val="000000"/>
                <w:kern w:val="0"/>
                <w:sz w:val="22"/>
                <w:szCs w:val="22"/>
                <w:highlight w:val="none"/>
                <w:lang w:val="en-US" w:eastAsia="zh-CN" w:bidi="ar"/>
              </w:rPr>
              <w:t>根据每</w:t>
            </w:r>
            <w:r>
              <w:rPr>
                <w:rFonts w:hint="eastAsia" w:ascii="宋体" w:hAnsi="宋体" w:eastAsia="宋体" w:cs="宋体"/>
                <w:i w:val="0"/>
                <w:color w:val="000000"/>
                <w:kern w:val="0"/>
                <w:sz w:val="22"/>
                <w:szCs w:val="22"/>
                <w:highlight w:val="none"/>
                <w:lang w:val="en-US" w:eastAsia="zh-CN" w:bidi="ar"/>
              </w:rPr>
              <w:t>个评委</w:t>
            </w:r>
            <w:r>
              <w:rPr>
                <w:rFonts w:hint="eastAsia" w:ascii="宋体" w:hAnsi="宋体" w:cs="宋体"/>
                <w:i w:val="0"/>
                <w:color w:val="000000"/>
                <w:kern w:val="0"/>
                <w:sz w:val="22"/>
                <w:szCs w:val="22"/>
                <w:highlight w:val="none"/>
                <w:lang w:val="en-US" w:eastAsia="zh-CN" w:bidi="ar"/>
              </w:rPr>
              <w:t>对投标企业</w:t>
            </w:r>
            <w:r>
              <w:rPr>
                <w:rFonts w:hint="eastAsia" w:ascii="宋体" w:hAnsi="宋体" w:eastAsia="宋体" w:cs="宋体"/>
                <w:i w:val="0"/>
                <w:color w:val="000000"/>
                <w:kern w:val="0"/>
                <w:sz w:val="22"/>
                <w:szCs w:val="22"/>
                <w:highlight w:val="none"/>
                <w:lang w:val="en-US" w:eastAsia="zh-CN" w:bidi="ar"/>
              </w:rPr>
              <w:t>技术标定性评审</w:t>
            </w:r>
            <w:r>
              <w:rPr>
                <w:rFonts w:hint="eastAsia" w:ascii="宋体" w:hAnsi="宋体" w:cs="宋体"/>
                <w:i w:val="0"/>
                <w:color w:val="000000"/>
                <w:kern w:val="0"/>
                <w:sz w:val="22"/>
                <w:szCs w:val="22"/>
                <w:highlight w:val="none"/>
                <w:lang w:val="en-US" w:eastAsia="zh-CN" w:bidi="ar"/>
              </w:rPr>
              <w:t>意见情况</w:t>
            </w:r>
            <w:r>
              <w:rPr>
                <w:rFonts w:hint="eastAsia" w:ascii="宋体" w:hAnsi="宋体" w:eastAsia="宋体" w:cs="宋体"/>
                <w:i w:val="0"/>
                <w:color w:val="000000"/>
                <w:kern w:val="0"/>
                <w:sz w:val="22"/>
                <w:szCs w:val="22"/>
                <w:highlight w:val="none"/>
                <w:lang w:val="en-US" w:eastAsia="zh-CN" w:bidi="ar"/>
              </w:rPr>
              <w:t>汇总评审</w:t>
            </w:r>
            <w:r>
              <w:rPr>
                <w:rFonts w:hint="eastAsia" w:ascii="宋体" w:hAnsi="宋体" w:cs="宋体"/>
                <w:i w:val="0"/>
                <w:color w:val="000000"/>
                <w:kern w:val="0"/>
                <w:sz w:val="22"/>
                <w:szCs w:val="22"/>
                <w:highlight w:val="none"/>
                <w:lang w:val="en-US" w:eastAsia="zh-CN" w:bidi="ar"/>
              </w:rPr>
              <w:t>意见</w:t>
            </w:r>
            <w:r>
              <w:rPr>
                <w:rFonts w:hint="eastAsia" w:ascii="宋体" w:hAnsi="宋体" w:eastAsia="宋体" w:cs="宋体"/>
                <w:i w:val="0"/>
                <w:color w:val="000000"/>
                <w:kern w:val="0"/>
                <w:sz w:val="22"/>
                <w:szCs w:val="22"/>
                <w:highlight w:val="none"/>
                <w:lang w:val="en-US" w:eastAsia="zh-CN" w:bidi="ar"/>
              </w:rPr>
              <w:t>。</w:t>
            </w:r>
          </w:p>
        </w:tc>
      </w:tr>
      <w:tr>
        <w:trPr>
          <w:trHeight w:val="270" w:hRule="atLeast"/>
        </w:trPr>
        <w:tc>
          <w:tcPr>
            <w:tcW w:w="0" w:type="auto"/>
            <w:gridSpan w:val="2"/>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highlight w:val="none"/>
              </w:rPr>
            </w:pPr>
          </w:p>
        </w:tc>
        <w:tc>
          <w:tcPr>
            <w:tcW w:w="0" w:type="auto"/>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0" w:type="auto"/>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c>
          <w:tcPr>
            <w:tcW w:w="0" w:type="auto"/>
            <w:tcBorders>
              <w:top w:val="single" w:color="auto" w:sz="4" w:space="0"/>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highlight w:val="none"/>
              </w:rPr>
            </w:pPr>
          </w:p>
        </w:tc>
      </w:tr>
    </w:tbl>
    <w:p>
      <w:pPr>
        <w:rPr>
          <w:rFonts w:ascii="仿宋" w:hAnsi="仿宋" w:eastAsia="仿宋" w:cs="仿宋"/>
          <w:sz w:val="32"/>
          <w:szCs w:val="32"/>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295251-9AF9-4562-B4EB-30AB7306ED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5BF7D16-C78E-4E0C-B4F6-F4574A968D68}"/>
  </w:font>
  <w:font w:name="仿宋_GB2312">
    <w:altName w:val="仿宋"/>
    <w:panose1 w:val="00000000000000000000"/>
    <w:charset w:val="86"/>
    <w:family w:val="modern"/>
    <w:pitch w:val="default"/>
    <w:sig w:usb0="00000000" w:usb1="00000000" w:usb2="00000000" w:usb3="00000000" w:csb0="00040000" w:csb1="00000000"/>
    <w:embedRegular r:id="rId3" w:fontKey="{16C2C8C2-641A-4845-AF57-AF4AB94BF907}"/>
  </w:font>
  <w:font w:name="仿宋">
    <w:panose1 w:val="02010609060101010101"/>
    <w:charset w:val="86"/>
    <w:family w:val="auto"/>
    <w:pitch w:val="default"/>
    <w:sig w:usb0="800002BF" w:usb1="38CF7CFA" w:usb2="00000016" w:usb3="00000000" w:csb0="00040001" w:csb1="00000000"/>
    <w:embedRegular r:id="rId4" w:fontKey="{28D3F32F-8A03-4A9C-945E-AC63A33250FF}"/>
  </w:font>
  <w:font w:name="方正小标宋简体">
    <w:panose1 w:val="02000000000000000000"/>
    <w:charset w:val="86"/>
    <w:family w:val="auto"/>
    <w:pitch w:val="default"/>
    <w:sig w:usb0="00000001" w:usb1="08000000" w:usb2="00000000" w:usb3="00000000" w:csb0="00040000" w:csb1="00000000"/>
    <w:embedRegular r:id="rId5" w:fontKey="{171E903C-BEC6-4C30-9066-A615A5F6AD75}"/>
  </w:font>
  <w:font w:name="楷体">
    <w:panose1 w:val="02010609060101010101"/>
    <w:charset w:val="86"/>
    <w:family w:val="auto"/>
    <w:pitch w:val="default"/>
    <w:sig w:usb0="800002BF" w:usb1="38CF7CFA" w:usb2="00000016" w:usb3="00000000" w:csb0="00040001" w:csb1="00000000"/>
    <w:embedRegular r:id="rId6" w:fontKey="{42D24E51-5A89-4C6E-B380-57DFF6086F99}"/>
  </w:font>
  <w:font w:name="微软雅黑">
    <w:panose1 w:val="020B0503020204020204"/>
    <w:charset w:val="86"/>
    <w:family w:val="auto"/>
    <w:pitch w:val="default"/>
    <w:sig w:usb0="80000287" w:usb1="2ACF3C50" w:usb2="00000016" w:usb3="00000000" w:csb0="0004001F" w:csb1="00000000"/>
    <w:embedRegular r:id="rId7" w:fontKey="{40352920-2A1B-467C-B4FD-51878B346EA1}"/>
  </w:font>
  <w:font w:name="等线">
    <w:panose1 w:val="02010600030101010101"/>
    <w:charset w:val="86"/>
    <w:family w:val="auto"/>
    <w:pitch w:val="default"/>
    <w:sig w:usb0="A00002BF" w:usb1="38CF7CFA" w:usb2="00000016" w:usb3="00000000" w:csb0="0004000F" w:csb1="00000000"/>
    <w:embedRegular r:id="rId8" w:fontKey="{1F816652-FAC8-4154-8DA0-EA18F6024E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4B290"/>
    <w:multiLevelType w:val="singleLevel"/>
    <w:tmpl w:val="DF24B290"/>
    <w:lvl w:ilvl="0" w:tentative="0">
      <w:start w:val="4"/>
      <w:numFmt w:val="chineseCounting"/>
      <w:suff w:val="nothing"/>
      <w:lvlText w:val="（%1）"/>
      <w:lvlJc w:val="left"/>
      <w:rPr>
        <w:rFonts w:hint="eastAsia"/>
      </w:rPr>
    </w:lvl>
  </w:abstractNum>
  <w:abstractNum w:abstractNumId="1">
    <w:nsid w:val="E40864FC"/>
    <w:multiLevelType w:val="singleLevel"/>
    <w:tmpl w:val="E40864FC"/>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3MWUyZWI2ZDlhZjUyZjBkNzYxMGFmYTkzMjkwOTEifQ=="/>
  </w:docVars>
  <w:rsids>
    <w:rsidRoot w:val="00172A27"/>
    <w:rsid w:val="000038C4"/>
    <w:rsid w:val="000371CA"/>
    <w:rsid w:val="00060BB8"/>
    <w:rsid w:val="00165569"/>
    <w:rsid w:val="00172A27"/>
    <w:rsid w:val="0018426B"/>
    <w:rsid w:val="001C025F"/>
    <w:rsid w:val="00347E39"/>
    <w:rsid w:val="00364198"/>
    <w:rsid w:val="0049548D"/>
    <w:rsid w:val="0049644A"/>
    <w:rsid w:val="004E7936"/>
    <w:rsid w:val="0052474F"/>
    <w:rsid w:val="005A01D8"/>
    <w:rsid w:val="006373BE"/>
    <w:rsid w:val="0069102E"/>
    <w:rsid w:val="006964FA"/>
    <w:rsid w:val="006A63F4"/>
    <w:rsid w:val="006F4F73"/>
    <w:rsid w:val="007029B8"/>
    <w:rsid w:val="00751AEC"/>
    <w:rsid w:val="007603F1"/>
    <w:rsid w:val="0077769B"/>
    <w:rsid w:val="007C41D5"/>
    <w:rsid w:val="007F63B6"/>
    <w:rsid w:val="008F682D"/>
    <w:rsid w:val="00940195"/>
    <w:rsid w:val="00A22BD0"/>
    <w:rsid w:val="00A4249F"/>
    <w:rsid w:val="00B267D6"/>
    <w:rsid w:val="00B872D4"/>
    <w:rsid w:val="00BC3FB6"/>
    <w:rsid w:val="00CB1119"/>
    <w:rsid w:val="00CF5F3F"/>
    <w:rsid w:val="00D51706"/>
    <w:rsid w:val="00D875ED"/>
    <w:rsid w:val="00DD091D"/>
    <w:rsid w:val="00E6638E"/>
    <w:rsid w:val="00F335CF"/>
    <w:rsid w:val="00FF56BA"/>
    <w:rsid w:val="016E4C18"/>
    <w:rsid w:val="01BD17FD"/>
    <w:rsid w:val="01ED1741"/>
    <w:rsid w:val="02353A89"/>
    <w:rsid w:val="02547DEB"/>
    <w:rsid w:val="02571F51"/>
    <w:rsid w:val="026305F6"/>
    <w:rsid w:val="03E21695"/>
    <w:rsid w:val="03F359AA"/>
    <w:rsid w:val="04936845"/>
    <w:rsid w:val="04AE7B23"/>
    <w:rsid w:val="05135477"/>
    <w:rsid w:val="05EB284D"/>
    <w:rsid w:val="05ED3472"/>
    <w:rsid w:val="060043AE"/>
    <w:rsid w:val="060911D9"/>
    <w:rsid w:val="06286A77"/>
    <w:rsid w:val="06AD3D36"/>
    <w:rsid w:val="06E31D05"/>
    <w:rsid w:val="07140111"/>
    <w:rsid w:val="07B866E9"/>
    <w:rsid w:val="07E00A0F"/>
    <w:rsid w:val="083B140E"/>
    <w:rsid w:val="087846CF"/>
    <w:rsid w:val="09B039F5"/>
    <w:rsid w:val="0A197798"/>
    <w:rsid w:val="0A93759F"/>
    <w:rsid w:val="0B2D1E85"/>
    <w:rsid w:val="0B8153CD"/>
    <w:rsid w:val="0C790A16"/>
    <w:rsid w:val="0CE71E24"/>
    <w:rsid w:val="0D3D2F69"/>
    <w:rsid w:val="0D6217F0"/>
    <w:rsid w:val="0E5E7EC3"/>
    <w:rsid w:val="0EA36C61"/>
    <w:rsid w:val="0F024CF3"/>
    <w:rsid w:val="10A67900"/>
    <w:rsid w:val="117F22FB"/>
    <w:rsid w:val="11E626AA"/>
    <w:rsid w:val="12681311"/>
    <w:rsid w:val="12EC13E9"/>
    <w:rsid w:val="14597BCD"/>
    <w:rsid w:val="149C34F4"/>
    <w:rsid w:val="15282FD9"/>
    <w:rsid w:val="15436E45"/>
    <w:rsid w:val="15D6782C"/>
    <w:rsid w:val="162C0BEE"/>
    <w:rsid w:val="163E682D"/>
    <w:rsid w:val="171C5F72"/>
    <w:rsid w:val="174F2A9F"/>
    <w:rsid w:val="176D1177"/>
    <w:rsid w:val="182757CA"/>
    <w:rsid w:val="18DD7E4A"/>
    <w:rsid w:val="1935339B"/>
    <w:rsid w:val="19EA073B"/>
    <w:rsid w:val="1BEA7699"/>
    <w:rsid w:val="1C1D1B72"/>
    <w:rsid w:val="1C335F5F"/>
    <w:rsid w:val="1C986C96"/>
    <w:rsid w:val="1C9E0488"/>
    <w:rsid w:val="1DE43C6F"/>
    <w:rsid w:val="1E0245F3"/>
    <w:rsid w:val="1E251DE1"/>
    <w:rsid w:val="1E9D2D96"/>
    <w:rsid w:val="1F2E31F4"/>
    <w:rsid w:val="1F66307C"/>
    <w:rsid w:val="1FB77434"/>
    <w:rsid w:val="1FFA7152"/>
    <w:rsid w:val="21022930"/>
    <w:rsid w:val="21090807"/>
    <w:rsid w:val="212916B0"/>
    <w:rsid w:val="212E2BED"/>
    <w:rsid w:val="21B53E47"/>
    <w:rsid w:val="21BB6FDF"/>
    <w:rsid w:val="21E07A9F"/>
    <w:rsid w:val="22600256"/>
    <w:rsid w:val="2340654E"/>
    <w:rsid w:val="235D6544"/>
    <w:rsid w:val="24DB4284"/>
    <w:rsid w:val="24E529A6"/>
    <w:rsid w:val="259C54CD"/>
    <w:rsid w:val="25B763DF"/>
    <w:rsid w:val="260574BC"/>
    <w:rsid w:val="26065BCC"/>
    <w:rsid w:val="269D3BA8"/>
    <w:rsid w:val="276464B3"/>
    <w:rsid w:val="27AB787E"/>
    <w:rsid w:val="28036860"/>
    <w:rsid w:val="285924FB"/>
    <w:rsid w:val="29BF7550"/>
    <w:rsid w:val="29F55228"/>
    <w:rsid w:val="2A094D30"/>
    <w:rsid w:val="2A661582"/>
    <w:rsid w:val="2AFA4972"/>
    <w:rsid w:val="2B670055"/>
    <w:rsid w:val="2BAC2334"/>
    <w:rsid w:val="2BD02508"/>
    <w:rsid w:val="2C26606D"/>
    <w:rsid w:val="2CA17F72"/>
    <w:rsid w:val="2D03015C"/>
    <w:rsid w:val="2DC17BD8"/>
    <w:rsid w:val="2DCC56A3"/>
    <w:rsid w:val="2E3D31FA"/>
    <w:rsid w:val="2E462D7F"/>
    <w:rsid w:val="2E755BFA"/>
    <w:rsid w:val="2F0024E4"/>
    <w:rsid w:val="2F107C06"/>
    <w:rsid w:val="2F6D46EE"/>
    <w:rsid w:val="300F0BC6"/>
    <w:rsid w:val="302F14C5"/>
    <w:rsid w:val="30851BFD"/>
    <w:rsid w:val="31376626"/>
    <w:rsid w:val="31A3351A"/>
    <w:rsid w:val="327807C2"/>
    <w:rsid w:val="32DF0D23"/>
    <w:rsid w:val="334868C9"/>
    <w:rsid w:val="33AA6517"/>
    <w:rsid w:val="366436D8"/>
    <w:rsid w:val="367C2AF7"/>
    <w:rsid w:val="373119B3"/>
    <w:rsid w:val="374E6478"/>
    <w:rsid w:val="37843626"/>
    <w:rsid w:val="38CA7D80"/>
    <w:rsid w:val="395D29A2"/>
    <w:rsid w:val="39706D97"/>
    <w:rsid w:val="3B1B7C78"/>
    <w:rsid w:val="3C08146B"/>
    <w:rsid w:val="3C2E425E"/>
    <w:rsid w:val="3D95040F"/>
    <w:rsid w:val="3E1D4FF7"/>
    <w:rsid w:val="3F4F69F8"/>
    <w:rsid w:val="3FBF788B"/>
    <w:rsid w:val="404D383F"/>
    <w:rsid w:val="40646634"/>
    <w:rsid w:val="410F7001"/>
    <w:rsid w:val="41195D48"/>
    <w:rsid w:val="415B010F"/>
    <w:rsid w:val="420F6F7F"/>
    <w:rsid w:val="42856C08"/>
    <w:rsid w:val="428D7303"/>
    <w:rsid w:val="42993D32"/>
    <w:rsid w:val="43605C9C"/>
    <w:rsid w:val="43741014"/>
    <w:rsid w:val="44B77EA1"/>
    <w:rsid w:val="450974FD"/>
    <w:rsid w:val="45767974"/>
    <w:rsid w:val="4578199F"/>
    <w:rsid w:val="45B47DEE"/>
    <w:rsid w:val="45DE30BD"/>
    <w:rsid w:val="464E61AA"/>
    <w:rsid w:val="466A3DAF"/>
    <w:rsid w:val="472865F9"/>
    <w:rsid w:val="47337F88"/>
    <w:rsid w:val="47FA5FF1"/>
    <w:rsid w:val="483B3270"/>
    <w:rsid w:val="483B65A4"/>
    <w:rsid w:val="48923AC5"/>
    <w:rsid w:val="48A83599"/>
    <w:rsid w:val="48A850A9"/>
    <w:rsid w:val="49301D4A"/>
    <w:rsid w:val="494B7B17"/>
    <w:rsid w:val="4AE178D7"/>
    <w:rsid w:val="4B1D284D"/>
    <w:rsid w:val="4B5A18D4"/>
    <w:rsid w:val="4B6B0077"/>
    <w:rsid w:val="4BDC009E"/>
    <w:rsid w:val="4BF44919"/>
    <w:rsid w:val="4BF92D90"/>
    <w:rsid w:val="4C267D14"/>
    <w:rsid w:val="4D49421E"/>
    <w:rsid w:val="4DAB1FDE"/>
    <w:rsid w:val="4DEF144A"/>
    <w:rsid w:val="4E3D6E12"/>
    <w:rsid w:val="4E9D5A90"/>
    <w:rsid w:val="4ED54EC0"/>
    <w:rsid w:val="4EE0169B"/>
    <w:rsid w:val="4FE43A21"/>
    <w:rsid w:val="4FEB4498"/>
    <w:rsid w:val="50A4412C"/>
    <w:rsid w:val="51461106"/>
    <w:rsid w:val="51912362"/>
    <w:rsid w:val="525D305A"/>
    <w:rsid w:val="52B4767F"/>
    <w:rsid w:val="531148D7"/>
    <w:rsid w:val="53253761"/>
    <w:rsid w:val="54992FD0"/>
    <w:rsid w:val="549F4A35"/>
    <w:rsid w:val="54B97444"/>
    <w:rsid w:val="54BC6CBF"/>
    <w:rsid w:val="54D04518"/>
    <w:rsid w:val="55066247"/>
    <w:rsid w:val="56646AE4"/>
    <w:rsid w:val="56777341"/>
    <w:rsid w:val="56906E60"/>
    <w:rsid w:val="57914433"/>
    <w:rsid w:val="582D6396"/>
    <w:rsid w:val="58A40F94"/>
    <w:rsid w:val="59F44210"/>
    <w:rsid w:val="59FA3D6D"/>
    <w:rsid w:val="5A5D13DC"/>
    <w:rsid w:val="5A696FA1"/>
    <w:rsid w:val="5B175BE2"/>
    <w:rsid w:val="5B445318"/>
    <w:rsid w:val="5B904C74"/>
    <w:rsid w:val="5BB02907"/>
    <w:rsid w:val="5C074AE7"/>
    <w:rsid w:val="5C961BA3"/>
    <w:rsid w:val="5CC2508E"/>
    <w:rsid w:val="5D047222"/>
    <w:rsid w:val="5D2E44D2"/>
    <w:rsid w:val="5E0C27AA"/>
    <w:rsid w:val="5E903179"/>
    <w:rsid w:val="5F5521EA"/>
    <w:rsid w:val="5FD22652"/>
    <w:rsid w:val="6019742E"/>
    <w:rsid w:val="60503F34"/>
    <w:rsid w:val="6074044E"/>
    <w:rsid w:val="60AD576B"/>
    <w:rsid w:val="610A5A0A"/>
    <w:rsid w:val="61E433B1"/>
    <w:rsid w:val="61F56B7E"/>
    <w:rsid w:val="63381C06"/>
    <w:rsid w:val="64DE450D"/>
    <w:rsid w:val="663520BE"/>
    <w:rsid w:val="666B0E2E"/>
    <w:rsid w:val="68463B6F"/>
    <w:rsid w:val="68A214EB"/>
    <w:rsid w:val="68C143C1"/>
    <w:rsid w:val="68E3497A"/>
    <w:rsid w:val="6A741CB9"/>
    <w:rsid w:val="6AB946DF"/>
    <w:rsid w:val="6AE3341A"/>
    <w:rsid w:val="6B8B7888"/>
    <w:rsid w:val="6B8C4A9D"/>
    <w:rsid w:val="6B8D0AC3"/>
    <w:rsid w:val="6C5F65AB"/>
    <w:rsid w:val="6C8A0A72"/>
    <w:rsid w:val="6C9A748E"/>
    <w:rsid w:val="6CD81E3C"/>
    <w:rsid w:val="6D352454"/>
    <w:rsid w:val="6D4C4C2C"/>
    <w:rsid w:val="6D8D2B4F"/>
    <w:rsid w:val="6E534D11"/>
    <w:rsid w:val="6EA11EC0"/>
    <w:rsid w:val="6ECF1E3D"/>
    <w:rsid w:val="6F537B60"/>
    <w:rsid w:val="6F6131BE"/>
    <w:rsid w:val="6F9F53FA"/>
    <w:rsid w:val="6FF46EB5"/>
    <w:rsid w:val="6FF869A5"/>
    <w:rsid w:val="700C2451"/>
    <w:rsid w:val="704C4F43"/>
    <w:rsid w:val="709F5073"/>
    <w:rsid w:val="70B95FF5"/>
    <w:rsid w:val="70BC5C25"/>
    <w:rsid w:val="71267175"/>
    <w:rsid w:val="71461992"/>
    <w:rsid w:val="71542301"/>
    <w:rsid w:val="719E1AEC"/>
    <w:rsid w:val="71C64881"/>
    <w:rsid w:val="71CD5A52"/>
    <w:rsid w:val="72202F63"/>
    <w:rsid w:val="73CC3C34"/>
    <w:rsid w:val="73CC5951"/>
    <w:rsid w:val="73F34701"/>
    <w:rsid w:val="742C11FC"/>
    <w:rsid w:val="75114CDB"/>
    <w:rsid w:val="75D57A0A"/>
    <w:rsid w:val="76880357"/>
    <w:rsid w:val="77302EC9"/>
    <w:rsid w:val="774E334F"/>
    <w:rsid w:val="775D19FB"/>
    <w:rsid w:val="77A35AC4"/>
    <w:rsid w:val="78574880"/>
    <w:rsid w:val="786739A1"/>
    <w:rsid w:val="787E69C5"/>
    <w:rsid w:val="793D7B1F"/>
    <w:rsid w:val="798C63B0"/>
    <w:rsid w:val="79DA711C"/>
    <w:rsid w:val="79E00DF6"/>
    <w:rsid w:val="7A214D4A"/>
    <w:rsid w:val="7A8D5E36"/>
    <w:rsid w:val="7BAB0D70"/>
    <w:rsid w:val="7C4D0079"/>
    <w:rsid w:val="7CCD2C16"/>
    <w:rsid w:val="7DA72DFA"/>
    <w:rsid w:val="7E2D7686"/>
    <w:rsid w:val="7EAA2F03"/>
    <w:rsid w:val="7EC65D53"/>
    <w:rsid w:val="7FEB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Web)"/>
    <w:basedOn w:val="1"/>
    <w:next w:val="1"/>
    <w:qFormat/>
    <w:uiPriority w:val="0"/>
    <w:rPr>
      <w:sz w:val="24"/>
    </w:rPr>
  </w:style>
  <w:style w:type="paragraph" w:styleId="7">
    <w:name w:val="Normal Indent"/>
    <w:basedOn w:val="1"/>
    <w:next w:val="1"/>
    <w:qFormat/>
    <w:uiPriority w:val="0"/>
    <w:pPr>
      <w:adjustRightInd w:val="0"/>
      <w:spacing w:line="360" w:lineRule="atLeast"/>
      <w:ind w:firstLine="420"/>
      <w:textAlignment w:val="baseline"/>
    </w:pPr>
    <w:rPr>
      <w:rFonts w:ascii="Times New Roman" w:hAnsi="Times New Roman" w:eastAsia="宋体" w:cs="Times New Roman"/>
    </w:rPr>
  </w:style>
  <w:style w:type="paragraph" w:styleId="8">
    <w:name w:val="annotation text"/>
    <w:basedOn w:val="1"/>
    <w:link w:val="26"/>
    <w:qFormat/>
    <w:uiPriority w:val="0"/>
    <w:pPr>
      <w:jc w:val="left"/>
    </w:pPr>
  </w:style>
  <w:style w:type="paragraph" w:styleId="9">
    <w:name w:val="Body Text"/>
    <w:basedOn w:val="1"/>
    <w:next w:val="10"/>
    <w:qFormat/>
    <w:uiPriority w:val="0"/>
    <w:rPr>
      <w:rFonts w:ascii="Calibri" w:hAnsi="Calibri" w:eastAsia="宋体" w:cs="Times New Roman"/>
    </w:rPr>
  </w:style>
  <w:style w:type="paragraph" w:styleId="10">
    <w:name w:val="Body Text First Indent"/>
    <w:basedOn w:val="9"/>
    <w:qFormat/>
    <w:uiPriority w:val="0"/>
    <w:pPr>
      <w:spacing w:after="120"/>
      <w:ind w:firstLine="420" w:firstLineChars="100"/>
    </w:pPr>
    <w:rPr>
      <w:sz w:val="30"/>
    </w:rPr>
  </w:style>
  <w:style w:type="paragraph" w:styleId="11">
    <w:name w:val="Balloon Text"/>
    <w:basedOn w:val="1"/>
    <w:link w:val="28"/>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annotation subject"/>
    <w:basedOn w:val="8"/>
    <w:next w:val="8"/>
    <w:link w:val="27"/>
    <w:qFormat/>
    <w:uiPriority w:val="0"/>
    <w:rPr>
      <w:b/>
      <w:bCs/>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character" w:customStyle="1" w:styleId="19">
    <w:name w:val="16"/>
    <w:basedOn w:val="16"/>
    <w:qFormat/>
    <w:uiPriority w:val="0"/>
    <w:rPr>
      <w:rFonts w:hint="default" w:ascii="仿宋_GB2312" w:eastAsia="仿宋_GB2312" w:cs="仿宋_GB2312"/>
      <w:color w:val="000000"/>
      <w:sz w:val="21"/>
      <w:szCs w:val="21"/>
    </w:rPr>
  </w:style>
  <w:style w:type="character" w:customStyle="1" w:styleId="20">
    <w:name w:val="15"/>
    <w:basedOn w:val="16"/>
    <w:qFormat/>
    <w:uiPriority w:val="0"/>
    <w:rPr>
      <w:rFonts w:hint="default" w:ascii="仿宋_GB2312" w:eastAsia="仿宋_GB2312" w:cs="仿宋_GB2312"/>
      <w:color w:val="000000"/>
      <w:sz w:val="21"/>
      <w:szCs w:val="21"/>
    </w:rPr>
  </w:style>
  <w:style w:type="character" w:customStyle="1" w:styleId="21">
    <w:name w:val="font11"/>
    <w:basedOn w:val="16"/>
    <w:qFormat/>
    <w:uiPriority w:val="0"/>
    <w:rPr>
      <w:rFonts w:hint="eastAsia" w:ascii="宋体" w:hAnsi="宋体" w:eastAsia="宋体" w:cs="宋体"/>
      <w:color w:val="000000"/>
      <w:sz w:val="24"/>
      <w:szCs w:val="24"/>
      <w:u w:val="none"/>
    </w:rPr>
  </w:style>
  <w:style w:type="character" w:customStyle="1" w:styleId="22">
    <w:name w:val="font01"/>
    <w:basedOn w:val="16"/>
    <w:qFormat/>
    <w:uiPriority w:val="0"/>
    <w:rPr>
      <w:rFonts w:hint="default" w:ascii="仿宋_GB2312" w:eastAsia="仿宋_GB2312" w:cs="仿宋_GB2312"/>
      <w:color w:val="000000"/>
      <w:sz w:val="24"/>
      <w:szCs w:val="24"/>
      <w:u w:val="none"/>
    </w:rPr>
  </w:style>
  <w:style w:type="character" w:customStyle="1" w:styleId="23">
    <w:name w:val="10"/>
    <w:basedOn w:val="16"/>
    <w:qFormat/>
    <w:uiPriority w:val="0"/>
    <w:rPr>
      <w:rFonts w:hint="default" w:ascii="Times New Roman" w:hAnsi="Times New Roman" w:cs="Times New Roman"/>
    </w:rPr>
  </w:style>
  <w:style w:type="character" w:customStyle="1" w:styleId="24">
    <w:name w:val="页眉 Char"/>
    <w:basedOn w:val="16"/>
    <w:link w:val="13"/>
    <w:qFormat/>
    <w:uiPriority w:val="0"/>
    <w:rPr>
      <w:rFonts w:asciiTheme="minorHAnsi" w:hAnsiTheme="minorHAnsi" w:eastAsiaTheme="minorEastAsia" w:cstheme="minorBidi"/>
      <w:kern w:val="2"/>
      <w:sz w:val="18"/>
      <w:szCs w:val="18"/>
    </w:rPr>
  </w:style>
  <w:style w:type="character" w:customStyle="1" w:styleId="25">
    <w:name w:val="页脚 Char"/>
    <w:basedOn w:val="16"/>
    <w:link w:val="12"/>
    <w:qFormat/>
    <w:uiPriority w:val="0"/>
    <w:rPr>
      <w:rFonts w:asciiTheme="minorHAnsi" w:hAnsiTheme="minorHAnsi" w:eastAsiaTheme="minorEastAsia" w:cstheme="minorBidi"/>
      <w:kern w:val="2"/>
      <w:sz w:val="18"/>
      <w:szCs w:val="18"/>
    </w:rPr>
  </w:style>
  <w:style w:type="character" w:customStyle="1" w:styleId="26">
    <w:name w:val="批注文字 Char"/>
    <w:basedOn w:val="16"/>
    <w:link w:val="8"/>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14"/>
    <w:qFormat/>
    <w:uiPriority w:val="0"/>
    <w:rPr>
      <w:rFonts w:asciiTheme="minorHAnsi" w:hAnsiTheme="minorHAnsi" w:eastAsiaTheme="minorEastAsia" w:cstheme="minorBidi"/>
      <w:b/>
      <w:bCs/>
      <w:kern w:val="2"/>
      <w:sz w:val="21"/>
      <w:szCs w:val="24"/>
    </w:rPr>
  </w:style>
  <w:style w:type="character" w:customStyle="1" w:styleId="28">
    <w:name w:val="批注框文本 Char"/>
    <w:basedOn w:val="16"/>
    <w:link w:val="11"/>
    <w:qFormat/>
    <w:uiPriority w:val="0"/>
    <w:rPr>
      <w:rFonts w:asciiTheme="minorHAnsi" w:hAnsiTheme="minorHAnsi" w:eastAsiaTheme="minorEastAsia" w:cstheme="minorBidi"/>
      <w:kern w:val="2"/>
      <w:sz w:val="18"/>
      <w:szCs w:val="18"/>
    </w:rPr>
  </w:style>
  <w:style w:type="paragraph" w:customStyle="1" w:styleId="29">
    <w:name w:val="Table Paragraph"/>
    <w:basedOn w:val="1"/>
    <w:qFormat/>
    <w:uiPriority w:val="1"/>
    <w:rPr>
      <w:rFonts w:ascii="宋体" w:hAnsi="宋体" w:eastAsia="宋体" w:cs="宋体"/>
      <w:lang w:val="zh-CN" w:eastAsia="zh-CN" w:bidi="zh-CN"/>
    </w:rPr>
  </w:style>
  <w:style w:type="paragraph" w:customStyle="1" w:styleId="30">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777B2-8139-43DD-B6AD-36F11C470E20}">
  <ds:schemaRefs/>
</ds:datastoreItem>
</file>

<file path=docProps/app.xml><?xml version="1.0" encoding="utf-8"?>
<Properties xmlns="http://schemas.openxmlformats.org/officeDocument/2006/extended-properties" xmlns:vt="http://schemas.openxmlformats.org/officeDocument/2006/docPropsVTypes">
  <Template>Normal</Template>
  <Pages>44</Pages>
  <Words>17932</Words>
  <Characters>18465</Characters>
  <Lines>108</Lines>
  <Paragraphs>30</Paragraphs>
  <TotalTime>11</TotalTime>
  <ScaleCrop>false</ScaleCrop>
  <LinksUpToDate>false</LinksUpToDate>
  <CharactersWithSpaces>18694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2022-04-13T05:23:00Z</dcterms:created>
  <dc:creator>Administrator</dc:creator>
  <cp:lastModifiedBy>淡淡丶</cp:lastModifiedBy>
  <cp:lastPrinted>2022-05-19T09:21:00Z</cp:lastPrinted>
  <dcterms:modified xsi:type="dcterms:W3CDTF">2022-06-06T04:09:50Z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CA072E51C95A479CBB58FC4D23E9F8F3</vt:lpwstr>
  </property>
  <property fmtid="{D5CDD505-2E9C-101B-9397-08002B2CF9AE}" pid="4" name="commondata">
    <vt:lpwstr>eyJoZGlkIjoiMjY3MWUyZWI2ZDlhZjUyZjBkNzYxMGFmYTkzMjkwOTEifQ==</vt:lpwstr>
  </property>
</Properties>
</file>