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default" w:ascii="仿宋" w:hAnsi="仿宋" w:eastAsia="仿宋" w:cs="仿宋"/>
          <w:b/>
          <w:bCs/>
          <w:kern w:val="2"/>
          <w:sz w:val="32"/>
          <w:szCs w:val="32"/>
          <w:lang w:val="en-US" w:eastAsia="zh-CN" w:bidi="ar-SA"/>
        </w:rPr>
      </w:pPr>
      <w:bookmarkStart w:id="0" w:name="_Toc2753"/>
      <w:r>
        <w:rPr>
          <w:rFonts w:hint="eastAsia" w:ascii="仿宋" w:hAnsi="仿宋" w:eastAsia="仿宋" w:cs="仿宋"/>
          <w:b/>
          <w:bCs/>
          <w:kern w:val="2"/>
          <w:sz w:val="32"/>
          <w:szCs w:val="32"/>
          <w:lang w:val="en-US" w:eastAsia="zh-CN" w:bidi="ar-SA"/>
        </w:rPr>
        <w:t>附件4：</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cs="Times New Roman"/>
          <w:kern w:val="0"/>
          <w:sz w:val="44"/>
          <w:szCs w:val="44"/>
        </w:rPr>
      </w:pPr>
      <w:r>
        <w:rPr>
          <w:rFonts w:hint="eastAsia" w:ascii="方正小标宋简体" w:hAnsi="仿宋_GB2312" w:eastAsia="方正小标宋简体" w:cs="Times New Roman"/>
          <w:kern w:val="0"/>
          <w:sz w:val="44"/>
          <w:szCs w:val="44"/>
          <w:lang w:val="en-US" w:eastAsia="zh-CN"/>
        </w:rPr>
        <w:t>新疆维吾尔自治区</w:t>
      </w:r>
      <w:r>
        <w:rPr>
          <w:rFonts w:hint="eastAsia" w:ascii="方正小标宋简体" w:hAnsi="仿宋_GB2312" w:eastAsia="方正小标宋简体" w:cs="Times New Roman"/>
          <w:kern w:val="0"/>
          <w:sz w:val="44"/>
          <w:szCs w:val="44"/>
        </w:rPr>
        <w:t>房屋建筑和市政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cs="Times New Roman"/>
          <w:kern w:val="0"/>
          <w:sz w:val="44"/>
          <w:szCs w:val="44"/>
        </w:rPr>
      </w:pPr>
      <w:r>
        <w:rPr>
          <w:rFonts w:hint="eastAsia" w:ascii="方正小标宋简体" w:hAnsi="仿宋_GB2312" w:eastAsia="方正小标宋简体" w:cs="Times New Roman"/>
          <w:kern w:val="0"/>
          <w:sz w:val="44"/>
          <w:szCs w:val="44"/>
        </w:rPr>
        <w:t>基础设施工程施工投标报价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cs="Times New Roman"/>
          <w:kern w:val="0"/>
          <w:sz w:val="44"/>
          <w:szCs w:val="44"/>
          <w:lang w:val="en-US" w:eastAsia="zh-CN"/>
        </w:rPr>
      </w:pPr>
      <w:r>
        <w:rPr>
          <w:rFonts w:hint="eastAsia" w:ascii="方正小标宋简体" w:hAnsi="仿宋_GB2312" w:eastAsia="方正小标宋简体" w:cs="Times New Roman"/>
          <w:kern w:val="0"/>
          <w:sz w:val="44"/>
          <w:szCs w:val="44"/>
          <w:lang w:val="en-US" w:eastAsia="zh-CN"/>
        </w:rPr>
        <w:t>合理性</w:t>
      </w:r>
      <w:r>
        <w:rPr>
          <w:rFonts w:hint="eastAsia" w:ascii="方正小标宋简体" w:hAnsi="仿宋_GB2312" w:eastAsia="方正小标宋简体" w:cs="Times New Roman"/>
          <w:kern w:val="0"/>
          <w:sz w:val="44"/>
          <w:szCs w:val="44"/>
        </w:rPr>
        <w:t>评审</w:t>
      </w:r>
      <w:bookmarkEnd w:id="0"/>
      <w:r>
        <w:rPr>
          <w:rFonts w:hint="eastAsia" w:ascii="方正小标宋简体" w:hAnsi="仿宋_GB2312" w:eastAsia="方正小标宋简体" w:cs="Times New Roman"/>
          <w:kern w:val="0"/>
          <w:sz w:val="44"/>
          <w:szCs w:val="44"/>
          <w:lang w:val="en-US" w:eastAsia="zh-CN"/>
        </w:rPr>
        <w:t>规则（</w:t>
      </w:r>
      <w:r>
        <w:rPr>
          <w:rFonts w:hint="eastAsia" w:ascii="方正小标宋简体" w:hAnsi="仿宋_GB2312" w:eastAsia="方正小标宋简体" w:cs="Times New Roman"/>
          <w:kern w:val="0"/>
          <w:sz w:val="44"/>
          <w:szCs w:val="44"/>
        </w:rPr>
        <w:t>暂行</w:t>
      </w:r>
      <w:r>
        <w:rPr>
          <w:rFonts w:hint="eastAsia" w:ascii="方正小标宋简体" w:hAnsi="仿宋_GB2312" w:eastAsia="方正小标宋简体" w:cs="Times New Roman"/>
          <w:kern w:val="0"/>
          <w:sz w:val="44"/>
          <w:szCs w:val="44"/>
          <w:lang w:val="en-US" w:eastAsia="zh-CN"/>
        </w:rPr>
        <w:t>）</w:t>
      </w:r>
    </w:p>
    <w:p>
      <w:pPr>
        <w:jc w:val="center"/>
        <w:rPr>
          <w:rFonts w:hint="eastAsia" w:ascii="仿宋" w:hAnsi="仿宋" w:eastAsia="仿宋" w:cs="仿宋"/>
          <w:kern w:val="2"/>
          <w:sz w:val="32"/>
          <w:szCs w:val="32"/>
          <w:lang w:val="en-US" w:eastAsia="zh-CN" w:bidi="ar-SA"/>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征求意见稿</w:t>
      </w:r>
      <w:r>
        <w:rPr>
          <w:rFonts w:hint="eastAsia" w:ascii="楷体" w:hAnsi="楷体" w:eastAsia="楷体" w:cs="楷体"/>
          <w:sz w:val="32"/>
          <w:szCs w:val="32"/>
          <w:lang w:eastAsia="zh-CN"/>
        </w:rPr>
        <w:t>）</w:t>
      </w:r>
    </w:p>
    <w:p>
      <w:pPr>
        <w:pStyle w:val="4"/>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第一条  为健全和完善我区房屋建筑和市政基础设施工程施工招标投标活动报价评审分析机制，遏制投标人恶意严重不平衡报价、低于工程成本竞标等违规行为，进一步提高评标效率和质量、规范工程量清单招标投标报价评审，保障工程质量安全，根据《中华人民共和国招标投标法》及其实施条例、《建筑工程施工发包与承包计价管理办法》《建设工程工程量清单计价规范》等法律、法规、规范和标准，制定本规则。</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第二条  投标报价</w:t>
      </w:r>
      <w:r>
        <w:rPr>
          <w:rFonts w:hint="eastAsia" w:ascii="仿宋" w:hAnsi="仿宋" w:eastAsia="仿宋" w:cs="仿宋"/>
          <w:sz w:val="32"/>
          <w:szCs w:val="32"/>
          <w:lang w:val="en-US" w:eastAsia="zh-CN"/>
        </w:rPr>
        <w:t>合理性</w:t>
      </w:r>
      <w:r>
        <w:rPr>
          <w:rFonts w:hint="eastAsia" w:ascii="仿宋" w:hAnsi="仿宋" w:eastAsia="仿宋" w:cs="仿宋"/>
          <w:sz w:val="32"/>
          <w:szCs w:val="32"/>
        </w:rPr>
        <w:t>评审由评标委员会经济类专家主导组织实施。评标委员会应将投标报价</w:t>
      </w:r>
      <w:r>
        <w:rPr>
          <w:rFonts w:hint="eastAsia" w:ascii="仿宋" w:hAnsi="仿宋" w:eastAsia="仿宋" w:cs="仿宋"/>
          <w:sz w:val="32"/>
          <w:szCs w:val="32"/>
          <w:lang w:val="en-US" w:eastAsia="zh-CN"/>
        </w:rPr>
        <w:t>合理性</w:t>
      </w:r>
      <w:r>
        <w:rPr>
          <w:rFonts w:hint="eastAsia" w:ascii="仿宋" w:hAnsi="仿宋" w:eastAsia="仿宋" w:cs="仿宋"/>
          <w:sz w:val="32"/>
          <w:szCs w:val="32"/>
        </w:rPr>
        <w:t>评审过程中</w:t>
      </w:r>
      <w:r>
        <w:rPr>
          <w:rFonts w:hint="eastAsia" w:ascii="仿宋" w:hAnsi="仿宋" w:eastAsia="仿宋" w:cs="仿宋"/>
          <w:sz w:val="32"/>
          <w:szCs w:val="32"/>
          <w:lang w:val="en-US" w:eastAsia="zh-CN"/>
        </w:rPr>
        <w:t>发现的</w:t>
      </w:r>
      <w:r>
        <w:rPr>
          <w:rFonts w:hint="eastAsia" w:ascii="仿宋" w:hAnsi="仿宋" w:eastAsia="仿宋" w:cs="仿宋"/>
          <w:sz w:val="32"/>
          <w:szCs w:val="32"/>
        </w:rPr>
        <w:t>情况作出详细说明并记录在案。评标委员会成员无法形成一致意见时，应当按照少数服从多数的原则进行表决并予记录。</w:t>
      </w:r>
    </w:p>
    <w:p>
      <w:pPr>
        <w:pStyle w:val="3"/>
        <w:spacing w:line="540" w:lineRule="exact"/>
        <w:ind w:firstLine="729" w:firstLineChars="22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第三条  算术修正</w:t>
      </w:r>
    </w:p>
    <w:p>
      <w:pPr>
        <w:pStyle w:val="3"/>
        <w:spacing w:line="540" w:lineRule="exact"/>
        <w:ind w:firstLine="729" w:firstLineChars="22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评标委员会对清标中发现投标报价存在算术性错误的，应按以下原则对投标报价进行修正：</w:t>
      </w:r>
    </w:p>
    <w:p>
      <w:pPr>
        <w:pStyle w:val="13"/>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（一）</w:t>
      </w:r>
      <w:r>
        <w:rPr>
          <w:rFonts w:hint="eastAsia" w:ascii="仿宋" w:hAnsi="仿宋" w:eastAsia="仿宋" w:cs="仿宋"/>
          <w:color w:val="auto"/>
          <w:sz w:val="32"/>
          <w:szCs w:val="32"/>
          <w:highlight w:val="none"/>
        </w:rPr>
        <w:t>当综合单价与工程量（或计算基础金额与费率）的乘积与合价不一致时，以综合单价（或费率）为准修正合价及总价；</w:t>
      </w:r>
      <w:bookmarkStart w:id="17" w:name="_GoBack"/>
      <w:bookmarkEnd w:id="17"/>
    </w:p>
    <w:p>
      <w:pPr>
        <w:pStyle w:val="13"/>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rPr>
        <w:t>当各单项金额相加与其合计金额不一致时，以各单项金额为准修正相应合计金额及总价。</w:t>
      </w:r>
    </w:p>
    <w:p>
      <w:pPr>
        <w:pStyle w:val="3"/>
        <w:spacing w:line="540" w:lineRule="exact"/>
        <w:ind w:firstLine="729" w:firstLineChars="22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评标委员会修正后的价格经投标人书面确认后具有约束力</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投标报价合理性评审以修正后的报价为准（以后所称投标报价均为修正后的报价）</w:t>
      </w:r>
      <w:r>
        <w:rPr>
          <w:rFonts w:hint="eastAsia" w:ascii="仿宋" w:hAnsi="仿宋" w:eastAsia="仿宋" w:cs="仿宋"/>
          <w:color w:val="auto"/>
          <w:sz w:val="32"/>
          <w:szCs w:val="32"/>
          <w:highlight w:val="none"/>
        </w:rPr>
        <w:t>。投标人不接受修正价格或修正后价格高于招标控制价的，评标委员会应否决其投标。</w:t>
      </w:r>
    </w:p>
    <w:p>
      <w:pPr>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bidi="ar-SA"/>
        </w:rPr>
        <w:t>第四条  成本评审警戒线为进入详细评审的合格投标人投标报价算术平均值的95%或招标控制价的85%。</w:t>
      </w:r>
      <w:r>
        <w:rPr>
          <w:rFonts w:hint="eastAsia" w:ascii="仿宋" w:hAnsi="仿宋" w:eastAsia="仿宋" w:cs="仿宋"/>
          <w:color w:val="auto"/>
          <w:sz w:val="32"/>
          <w:szCs w:val="32"/>
          <w:highlight w:val="none"/>
        </w:rPr>
        <w:t>对低于报价评审警戒线的投标报价按照本条</w:t>
      </w:r>
      <w:r>
        <w:rPr>
          <w:rFonts w:hint="eastAsia" w:ascii="仿宋" w:hAnsi="仿宋" w:eastAsia="仿宋" w:cs="仿宋"/>
          <w:color w:val="auto"/>
          <w:sz w:val="32"/>
          <w:szCs w:val="32"/>
          <w:highlight w:val="none"/>
          <w:lang w:val="en-US" w:eastAsia="zh-CN"/>
        </w:rPr>
        <w:t>规定</w:t>
      </w:r>
      <w:r>
        <w:rPr>
          <w:rFonts w:hint="eastAsia" w:ascii="仿宋" w:hAnsi="仿宋" w:eastAsia="仿宋" w:cs="仿宋"/>
          <w:color w:val="auto"/>
          <w:sz w:val="32"/>
          <w:szCs w:val="32"/>
          <w:highlight w:val="none"/>
        </w:rPr>
        <w:t>评审，未低于成本评审警戒线的投标报价不做成本评审。</w:t>
      </w:r>
    </w:p>
    <w:p>
      <w:pPr>
        <w:ind w:left="0" w:leftChars="0" w:firstLine="640" w:firstLineChars="200"/>
        <w:outlineLvl w:val="0"/>
        <w:rPr>
          <w:rFonts w:hint="eastAsia" w:ascii="仿宋" w:hAnsi="仿宋" w:eastAsia="仿宋" w:cs="仿宋"/>
          <w:color w:val="auto"/>
          <w:sz w:val="32"/>
          <w:szCs w:val="32"/>
          <w:highlight w:val="none"/>
          <w:lang w:val="en-US" w:eastAsia="zh-CN"/>
        </w:rPr>
      </w:pPr>
      <w:bookmarkStart w:id="1" w:name="_Toc22340"/>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一</w:t>
      </w:r>
      <w:r>
        <w:rPr>
          <w:rFonts w:hint="eastAsia" w:ascii="仿宋" w:hAnsi="仿宋" w:eastAsia="仿宋" w:cs="仿宋"/>
          <w:color w:val="auto"/>
          <w:sz w:val="32"/>
          <w:szCs w:val="32"/>
          <w:highlight w:val="none"/>
          <w:lang w:eastAsia="zh-CN"/>
        </w:rPr>
        <w:t>）投标总报价</w:t>
      </w:r>
      <w:r>
        <w:rPr>
          <w:rFonts w:hint="eastAsia" w:ascii="仿宋" w:hAnsi="仿宋" w:eastAsia="仿宋" w:cs="仿宋"/>
          <w:color w:val="auto"/>
          <w:sz w:val="32"/>
          <w:szCs w:val="32"/>
          <w:highlight w:val="none"/>
          <w:lang w:val="en-US" w:eastAsia="zh-CN"/>
        </w:rPr>
        <w:t>成本评审</w:t>
      </w:r>
      <w:bookmarkEnd w:id="1"/>
    </w:p>
    <w:p>
      <w:pPr>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投标人的评审</w:t>
      </w:r>
      <w:r>
        <w:rPr>
          <w:rFonts w:hint="eastAsia" w:ascii="仿宋" w:hAnsi="仿宋" w:eastAsia="仿宋" w:cs="仿宋"/>
          <w:color w:val="auto"/>
          <w:sz w:val="32"/>
          <w:szCs w:val="32"/>
          <w:highlight w:val="none"/>
          <w:lang w:val="en-US" w:eastAsia="zh-CN"/>
        </w:rPr>
        <w:t>总报价</w:t>
      </w:r>
      <w:r>
        <w:rPr>
          <w:rFonts w:hint="eastAsia" w:ascii="仿宋" w:hAnsi="仿宋" w:eastAsia="仿宋" w:cs="仿宋"/>
          <w:color w:val="auto"/>
          <w:sz w:val="32"/>
          <w:szCs w:val="32"/>
          <w:highlight w:val="none"/>
        </w:rPr>
        <w:t>低于</w:t>
      </w:r>
      <w:r>
        <w:rPr>
          <w:rFonts w:hint="eastAsia" w:ascii="仿宋" w:hAnsi="仿宋" w:eastAsia="仿宋" w:cs="仿宋"/>
          <w:color w:val="auto"/>
          <w:kern w:val="2"/>
          <w:sz w:val="32"/>
          <w:szCs w:val="32"/>
          <w:highlight w:val="none"/>
          <w:lang w:val="en-US" w:eastAsia="zh-CN" w:bidi="ar-SA"/>
        </w:rPr>
        <w:t>合格投标人投标报价算术平均值的95%或</w:t>
      </w:r>
      <w:r>
        <w:rPr>
          <w:rFonts w:hint="eastAsia" w:ascii="仿宋" w:hAnsi="仿宋" w:eastAsia="仿宋" w:cs="仿宋"/>
          <w:color w:val="auto"/>
          <w:sz w:val="32"/>
          <w:szCs w:val="32"/>
          <w:highlight w:val="none"/>
        </w:rPr>
        <w:t>招标控制价85%</w:t>
      </w:r>
      <w:r>
        <w:rPr>
          <w:rFonts w:hint="eastAsia" w:ascii="仿宋" w:hAnsi="仿宋" w:eastAsia="仿宋" w:cs="仿宋"/>
          <w:color w:val="auto"/>
          <w:sz w:val="32"/>
          <w:szCs w:val="32"/>
          <w:highlight w:val="none"/>
          <w:lang w:val="en-US" w:eastAsia="zh-CN"/>
        </w:rPr>
        <w:t>的</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执行本条第三款规定</w:t>
      </w:r>
      <w:r>
        <w:rPr>
          <w:rFonts w:hint="eastAsia" w:ascii="仿宋" w:hAnsi="仿宋" w:eastAsia="仿宋" w:cs="仿宋"/>
          <w:color w:val="auto"/>
          <w:sz w:val="32"/>
          <w:szCs w:val="32"/>
          <w:highlight w:val="none"/>
        </w:rPr>
        <w:t>。</w:t>
      </w:r>
    </w:p>
    <w:p>
      <w:pPr>
        <w:ind w:left="0" w:leftChars="0" w:firstLine="640" w:firstLineChars="200"/>
        <w:outlineLvl w:val="0"/>
        <w:rPr>
          <w:rFonts w:hint="eastAsia" w:ascii="仿宋" w:hAnsi="仿宋" w:eastAsia="仿宋" w:cs="仿宋"/>
          <w:color w:val="auto"/>
          <w:sz w:val="32"/>
          <w:szCs w:val="32"/>
          <w:highlight w:val="none"/>
          <w:lang w:eastAsia="zh-CN"/>
        </w:rPr>
      </w:pPr>
      <w:bookmarkStart w:id="2" w:name="_Toc11659"/>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lang w:eastAsia="zh-CN"/>
        </w:rPr>
        <w:t>）重点单价</w:t>
      </w:r>
      <w:r>
        <w:rPr>
          <w:rFonts w:hint="eastAsia" w:ascii="仿宋" w:hAnsi="仿宋" w:eastAsia="仿宋" w:cs="仿宋"/>
          <w:color w:val="auto"/>
          <w:sz w:val="32"/>
          <w:szCs w:val="32"/>
          <w:highlight w:val="none"/>
          <w:lang w:val="en-US" w:eastAsia="zh-CN"/>
        </w:rPr>
        <w:t>成本</w:t>
      </w:r>
      <w:r>
        <w:rPr>
          <w:rFonts w:hint="eastAsia" w:ascii="仿宋" w:hAnsi="仿宋" w:eastAsia="仿宋" w:cs="仿宋"/>
          <w:color w:val="auto"/>
          <w:sz w:val="32"/>
          <w:szCs w:val="32"/>
          <w:highlight w:val="none"/>
          <w:lang w:eastAsia="zh-CN"/>
        </w:rPr>
        <w:t>评审</w:t>
      </w:r>
      <w:bookmarkEnd w:id="2"/>
    </w:p>
    <w:p>
      <w:pPr>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投标人的重点单价</w:t>
      </w:r>
      <w:r>
        <w:rPr>
          <w:rFonts w:hint="eastAsia" w:ascii="仿宋" w:hAnsi="仿宋" w:eastAsia="仿宋" w:cs="仿宋"/>
          <w:color w:val="auto"/>
          <w:sz w:val="32"/>
          <w:szCs w:val="32"/>
          <w:highlight w:val="none"/>
          <w:lang w:val="en-US" w:eastAsia="zh-CN"/>
        </w:rPr>
        <w:t>项目</w:t>
      </w:r>
      <w:r>
        <w:rPr>
          <w:rFonts w:hint="eastAsia" w:ascii="仿宋" w:hAnsi="仿宋" w:eastAsia="仿宋" w:cs="仿宋"/>
          <w:color w:val="auto"/>
          <w:sz w:val="32"/>
          <w:szCs w:val="32"/>
          <w:highlight w:val="none"/>
        </w:rPr>
        <w:t>任意一项低于评审标准的，</w:t>
      </w:r>
      <w:r>
        <w:rPr>
          <w:rFonts w:hint="eastAsia" w:ascii="仿宋" w:hAnsi="仿宋" w:eastAsia="仿宋" w:cs="仿宋"/>
          <w:color w:val="auto"/>
          <w:sz w:val="32"/>
          <w:szCs w:val="32"/>
          <w:highlight w:val="none"/>
          <w:lang w:val="en-US" w:eastAsia="zh-CN"/>
        </w:rPr>
        <w:t>执行本条第三款规定</w:t>
      </w:r>
      <w:r>
        <w:rPr>
          <w:rFonts w:hint="eastAsia" w:ascii="仿宋" w:hAnsi="仿宋" w:eastAsia="仿宋" w:cs="仿宋"/>
          <w:color w:val="auto"/>
          <w:sz w:val="32"/>
          <w:szCs w:val="32"/>
          <w:highlight w:val="none"/>
        </w:rPr>
        <w:t>。</w:t>
      </w:r>
    </w:p>
    <w:p>
      <w:pPr>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1、重点单价</w:t>
      </w:r>
      <w:r>
        <w:rPr>
          <w:rFonts w:hint="eastAsia" w:ascii="仿宋" w:hAnsi="仿宋" w:eastAsia="仿宋" w:cs="仿宋"/>
          <w:color w:val="auto"/>
          <w:sz w:val="32"/>
          <w:szCs w:val="32"/>
          <w:highlight w:val="none"/>
        </w:rPr>
        <w:t>评审标准：</w:t>
      </w:r>
    </w:p>
    <w:p>
      <w:pPr>
        <w:ind w:left="0" w:leftChars="0" w:firstLine="640" w:firstLineChars="200"/>
        <w:rPr>
          <w:rFonts w:hint="eastAsia" w:ascii="仿宋" w:hAnsi="仿宋" w:eastAsia="仿宋" w:cs="仿宋"/>
          <w:sz w:val="32"/>
          <w:szCs w:val="32"/>
        </w:rPr>
      </w:pPr>
      <w:r>
        <w:rPr>
          <w:rFonts w:hint="eastAsia" w:ascii="仿宋" w:hAnsi="仿宋" w:eastAsia="仿宋" w:cs="仿宋"/>
          <w:color w:val="auto"/>
          <w:sz w:val="32"/>
          <w:szCs w:val="32"/>
          <w:highlight w:val="none"/>
          <w:lang w:val="en-US" w:eastAsia="zh-CN"/>
        </w:rPr>
        <w:t>1.1</w:t>
      </w:r>
      <w:r>
        <w:rPr>
          <w:rFonts w:hint="eastAsia" w:ascii="仿宋" w:hAnsi="仿宋" w:eastAsia="仿宋" w:cs="仿宋"/>
          <w:color w:val="auto"/>
          <w:sz w:val="32"/>
          <w:szCs w:val="32"/>
          <w:highlight w:val="none"/>
        </w:rPr>
        <w:t>房屋建筑总承包工程为最高投标限</w:t>
      </w:r>
      <w:r>
        <w:rPr>
          <w:rFonts w:hint="eastAsia" w:ascii="仿宋" w:hAnsi="仿宋" w:eastAsia="仿宋" w:cs="仿宋"/>
          <w:sz w:val="32"/>
          <w:szCs w:val="32"/>
        </w:rPr>
        <w:t>价的90</w:t>
      </w:r>
      <w:r>
        <w:rPr>
          <w:rFonts w:hint="eastAsia" w:ascii="仿宋" w:hAnsi="仿宋" w:eastAsia="仿宋" w:cs="仿宋"/>
          <w:sz w:val="32"/>
          <w:szCs w:val="32"/>
          <w:lang w:val="en-US" w:eastAsia="zh-CN"/>
        </w:rPr>
        <w:t>%</w:t>
      </w:r>
      <w:r>
        <w:rPr>
          <w:rFonts w:hint="eastAsia" w:ascii="仿宋" w:hAnsi="仿宋" w:eastAsia="仿宋" w:cs="仿宋"/>
          <w:sz w:val="32"/>
          <w:szCs w:val="32"/>
        </w:rPr>
        <w:t>；</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1.2</w:t>
      </w:r>
      <w:r>
        <w:rPr>
          <w:rFonts w:hint="eastAsia" w:ascii="仿宋" w:hAnsi="仿宋" w:eastAsia="仿宋" w:cs="仿宋"/>
          <w:sz w:val="32"/>
          <w:szCs w:val="32"/>
        </w:rPr>
        <w:t>市政基础设施总承包工程（轨道交通工程除外）为最高投标限价的85%；</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1.3</w:t>
      </w:r>
      <w:r>
        <w:rPr>
          <w:rFonts w:hint="eastAsia" w:ascii="仿宋" w:hAnsi="仿宋" w:eastAsia="仿宋" w:cs="仿宋"/>
          <w:sz w:val="32"/>
          <w:szCs w:val="32"/>
        </w:rPr>
        <w:t>轨道交通工程为最高投标限价的88%；</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1.4</w:t>
      </w:r>
      <w:r>
        <w:rPr>
          <w:rFonts w:hint="eastAsia" w:ascii="仿宋" w:hAnsi="仿宋" w:eastAsia="仿宋" w:cs="仿宋"/>
          <w:sz w:val="32"/>
          <w:szCs w:val="32"/>
        </w:rPr>
        <w:t>单独招标的装饰装修工程为最高投标限价的92%；</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1.5</w:t>
      </w:r>
      <w:r>
        <w:rPr>
          <w:rFonts w:hint="eastAsia" w:ascii="仿宋" w:hAnsi="仿宋" w:eastAsia="仿宋" w:cs="仿宋"/>
          <w:sz w:val="32"/>
          <w:szCs w:val="32"/>
        </w:rPr>
        <w:t>单独招标的园林景观绿化工程、仿古建筑工程为最高投标限价的88%；</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1.6</w:t>
      </w:r>
      <w:r>
        <w:rPr>
          <w:rFonts w:hint="eastAsia" w:ascii="仿宋" w:hAnsi="仿宋" w:eastAsia="仿宋" w:cs="仿宋"/>
          <w:sz w:val="32"/>
          <w:szCs w:val="32"/>
        </w:rPr>
        <w:t>单独招标的安装工程为最高投标限价的90%。</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重点</w:t>
      </w:r>
      <w:r>
        <w:rPr>
          <w:rFonts w:hint="eastAsia" w:ascii="仿宋" w:hAnsi="仿宋" w:eastAsia="仿宋" w:cs="仿宋"/>
          <w:sz w:val="32"/>
          <w:szCs w:val="32"/>
          <w:lang w:val="en-US" w:eastAsia="zh-CN"/>
        </w:rPr>
        <w:t>单价项目包括：</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2.1建筑工程</w:t>
      </w:r>
    </w:p>
    <w:p>
      <w:pPr>
        <w:ind w:left="0" w:leftChars="0"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2.1.1</w:t>
      </w:r>
      <w:r>
        <w:rPr>
          <w:rFonts w:hint="eastAsia" w:ascii="仿宋" w:hAnsi="仿宋" w:eastAsia="仿宋" w:cs="仿宋"/>
          <w:sz w:val="32"/>
          <w:szCs w:val="32"/>
          <w:highlight w:val="none"/>
        </w:rPr>
        <w:t>基础（项目编码010501开头）</w:t>
      </w:r>
      <w:r>
        <w:rPr>
          <w:rFonts w:hint="eastAsia" w:ascii="仿宋" w:hAnsi="仿宋" w:eastAsia="仿宋" w:cs="仿宋"/>
          <w:sz w:val="32"/>
          <w:szCs w:val="32"/>
          <w:highlight w:val="none"/>
          <w:lang w:eastAsia="zh-CN"/>
        </w:rPr>
        <w:t>；</w:t>
      </w:r>
    </w:p>
    <w:p>
      <w:pPr>
        <w:ind w:left="0" w:leftChars="0"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2.1.2</w:t>
      </w:r>
      <w:r>
        <w:rPr>
          <w:rFonts w:hint="eastAsia" w:ascii="仿宋" w:hAnsi="仿宋" w:eastAsia="仿宋" w:cs="仿宋"/>
          <w:sz w:val="32"/>
          <w:szCs w:val="32"/>
          <w:highlight w:val="none"/>
        </w:rPr>
        <w:t>柱（项目编码010502开头）</w:t>
      </w:r>
      <w:r>
        <w:rPr>
          <w:rFonts w:hint="eastAsia" w:ascii="仿宋" w:hAnsi="仿宋" w:eastAsia="仿宋" w:cs="仿宋"/>
          <w:sz w:val="32"/>
          <w:szCs w:val="32"/>
          <w:highlight w:val="none"/>
          <w:lang w:eastAsia="zh-CN"/>
        </w:rPr>
        <w:t>；</w:t>
      </w:r>
    </w:p>
    <w:p>
      <w:pPr>
        <w:ind w:left="0" w:leftChars="0"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2.1.3</w:t>
      </w:r>
      <w:r>
        <w:rPr>
          <w:rFonts w:hint="eastAsia" w:ascii="仿宋" w:hAnsi="仿宋" w:eastAsia="仿宋" w:cs="仿宋"/>
          <w:sz w:val="32"/>
          <w:szCs w:val="32"/>
          <w:highlight w:val="none"/>
        </w:rPr>
        <w:t>梁（项目编码010503开头）</w:t>
      </w:r>
      <w:r>
        <w:rPr>
          <w:rFonts w:hint="eastAsia" w:ascii="仿宋" w:hAnsi="仿宋" w:eastAsia="仿宋" w:cs="仿宋"/>
          <w:sz w:val="32"/>
          <w:szCs w:val="32"/>
          <w:highlight w:val="none"/>
          <w:lang w:eastAsia="zh-CN"/>
        </w:rPr>
        <w:t>；</w:t>
      </w:r>
    </w:p>
    <w:p>
      <w:pPr>
        <w:ind w:left="0" w:leftChars="0"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2.1.4</w:t>
      </w:r>
      <w:r>
        <w:rPr>
          <w:rFonts w:hint="eastAsia" w:ascii="仿宋" w:hAnsi="仿宋" w:eastAsia="仿宋" w:cs="仿宋"/>
          <w:sz w:val="32"/>
          <w:szCs w:val="32"/>
          <w:highlight w:val="none"/>
        </w:rPr>
        <w:t>墙（项目编码010504开头）</w:t>
      </w:r>
      <w:r>
        <w:rPr>
          <w:rFonts w:hint="eastAsia" w:ascii="仿宋" w:hAnsi="仿宋" w:eastAsia="仿宋" w:cs="仿宋"/>
          <w:sz w:val="32"/>
          <w:szCs w:val="32"/>
          <w:highlight w:val="none"/>
          <w:lang w:eastAsia="zh-CN"/>
        </w:rPr>
        <w:t>；</w:t>
      </w:r>
    </w:p>
    <w:p>
      <w:pPr>
        <w:ind w:left="0" w:leftChars="0"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2.1.5</w:t>
      </w:r>
      <w:r>
        <w:rPr>
          <w:rFonts w:hint="eastAsia" w:ascii="仿宋" w:hAnsi="仿宋" w:eastAsia="仿宋" w:cs="仿宋"/>
          <w:sz w:val="32"/>
          <w:szCs w:val="32"/>
          <w:highlight w:val="none"/>
        </w:rPr>
        <w:t>板（项目编码010505开头）</w:t>
      </w:r>
      <w:r>
        <w:rPr>
          <w:rFonts w:hint="eastAsia" w:ascii="仿宋" w:hAnsi="仿宋" w:eastAsia="仿宋" w:cs="仿宋"/>
          <w:sz w:val="32"/>
          <w:szCs w:val="32"/>
          <w:highlight w:val="none"/>
          <w:lang w:eastAsia="zh-CN"/>
        </w:rPr>
        <w:t>；</w:t>
      </w:r>
    </w:p>
    <w:p>
      <w:pPr>
        <w:ind w:left="0" w:leftChars="0"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2.1.6</w:t>
      </w:r>
      <w:r>
        <w:rPr>
          <w:rFonts w:hint="eastAsia" w:ascii="仿宋" w:hAnsi="仿宋" w:eastAsia="仿宋" w:cs="仿宋"/>
          <w:sz w:val="32"/>
          <w:szCs w:val="32"/>
          <w:highlight w:val="none"/>
        </w:rPr>
        <w:t>脚手架（项目编码010504开头）</w:t>
      </w:r>
      <w:r>
        <w:rPr>
          <w:rFonts w:hint="eastAsia" w:ascii="仿宋" w:hAnsi="仿宋" w:eastAsia="仿宋" w:cs="仿宋"/>
          <w:sz w:val="32"/>
          <w:szCs w:val="32"/>
          <w:highlight w:val="none"/>
          <w:lang w:eastAsia="zh-CN"/>
        </w:rPr>
        <w:t>；</w:t>
      </w:r>
    </w:p>
    <w:p>
      <w:pPr>
        <w:ind w:left="0" w:leftChars="0"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2.1.7</w:t>
      </w:r>
      <w:r>
        <w:rPr>
          <w:rFonts w:hint="eastAsia" w:ascii="仿宋" w:hAnsi="仿宋" w:eastAsia="仿宋" w:cs="仿宋"/>
          <w:sz w:val="32"/>
          <w:szCs w:val="32"/>
          <w:highlight w:val="none"/>
        </w:rPr>
        <w:t>模板（项目编码010504开头）</w:t>
      </w:r>
      <w:r>
        <w:rPr>
          <w:rFonts w:hint="eastAsia" w:ascii="仿宋" w:hAnsi="仿宋" w:eastAsia="仿宋" w:cs="仿宋"/>
          <w:sz w:val="32"/>
          <w:szCs w:val="32"/>
          <w:highlight w:val="none"/>
          <w:lang w:eastAsia="zh-CN"/>
        </w:rPr>
        <w:t>；</w:t>
      </w:r>
    </w:p>
    <w:p>
      <w:pPr>
        <w:ind w:left="0" w:leftChars="0"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2.1.8</w:t>
      </w:r>
      <w:r>
        <w:rPr>
          <w:rFonts w:hint="eastAsia" w:ascii="仿宋" w:hAnsi="仿宋" w:eastAsia="仿宋" w:cs="仿宋"/>
          <w:sz w:val="32"/>
          <w:szCs w:val="32"/>
          <w:highlight w:val="none"/>
        </w:rPr>
        <w:t>基坑支护（项目编码010202开头）</w:t>
      </w:r>
      <w:r>
        <w:rPr>
          <w:rFonts w:hint="eastAsia" w:ascii="仿宋" w:hAnsi="仿宋" w:eastAsia="仿宋" w:cs="仿宋"/>
          <w:sz w:val="32"/>
          <w:szCs w:val="32"/>
          <w:highlight w:val="none"/>
          <w:lang w:eastAsia="zh-CN"/>
        </w:rPr>
        <w:t>。</w:t>
      </w:r>
    </w:p>
    <w:p>
      <w:pPr>
        <w:ind w:left="0" w:leftChars="0"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2.2其他工程</w:t>
      </w:r>
    </w:p>
    <w:p>
      <w:pPr>
        <w:ind w:left="0" w:leftChars="0"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除建筑工程以外的其他工程，重点单价项目（含可计量措施项目）由招标人委托工程造价咨询机构从危险性较大、直接影响工程实体质量、占最高投标限价总价比重较大的分部分项工程和能计量的措施项目中选取，并采用单独列表方式公布其最高投标限价。并在公布的最高投标限价中采用单独列表方式公布其重点单价。</w:t>
      </w:r>
    </w:p>
    <w:p>
      <w:pPr>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highlight w:val="none"/>
          <w:lang w:val="en-US" w:eastAsia="zh-CN"/>
        </w:rPr>
        <w:t>其他工程的重点评审单价，工程量清单综合单价一般为20项，且其对应的合价之和不超过最高投标限价总价的30%。</w:t>
      </w:r>
    </w:p>
    <w:p>
      <w:pPr>
        <w:ind w:left="0" w:leftChars="0" w:firstLine="640" w:firstLineChars="200"/>
        <w:outlineLvl w:val="0"/>
        <w:rPr>
          <w:rFonts w:hint="eastAsia" w:ascii="仿宋" w:hAnsi="仿宋" w:eastAsia="仿宋" w:cs="仿宋"/>
          <w:sz w:val="32"/>
          <w:szCs w:val="32"/>
          <w:lang w:eastAsia="zh-CN"/>
        </w:rPr>
      </w:pPr>
      <w:bookmarkStart w:id="3" w:name="_Toc30198"/>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）评估及判断</w:t>
      </w:r>
      <w:bookmarkEnd w:id="3"/>
    </w:p>
    <w:p>
      <w:pPr>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评标委员会应</w:t>
      </w:r>
      <w:r>
        <w:rPr>
          <w:rFonts w:hint="eastAsia" w:ascii="仿宋" w:hAnsi="仿宋" w:eastAsia="仿宋" w:cs="仿宋"/>
          <w:sz w:val="32"/>
          <w:szCs w:val="32"/>
          <w:highlight w:val="none"/>
          <w:lang w:eastAsia="zh-CN"/>
        </w:rPr>
        <w:t>对</w:t>
      </w:r>
      <w:r>
        <w:rPr>
          <w:rFonts w:hint="eastAsia" w:ascii="仿宋" w:hAnsi="仿宋" w:eastAsia="仿宋" w:cs="仿宋"/>
          <w:strike w:val="0"/>
          <w:dstrike w:val="0"/>
          <w:color w:val="auto"/>
          <w:sz w:val="32"/>
          <w:szCs w:val="32"/>
          <w:highlight w:val="none"/>
          <w:lang w:val="en-US" w:eastAsia="zh-CN"/>
        </w:rPr>
        <w:t>需要</w:t>
      </w:r>
      <w:r>
        <w:rPr>
          <w:rFonts w:hint="eastAsia" w:ascii="仿宋" w:hAnsi="仿宋" w:eastAsia="仿宋" w:cs="仿宋"/>
          <w:sz w:val="32"/>
          <w:szCs w:val="32"/>
          <w:lang w:val="en-US" w:eastAsia="zh-CN"/>
        </w:rPr>
        <w:t>成本</w:t>
      </w:r>
      <w:r>
        <w:rPr>
          <w:rFonts w:hint="eastAsia" w:ascii="仿宋" w:hAnsi="仿宋" w:eastAsia="仿宋" w:cs="仿宋"/>
          <w:sz w:val="32"/>
          <w:szCs w:val="32"/>
          <w:lang w:eastAsia="zh-CN"/>
        </w:rPr>
        <w:t>评审的投标报价进行分析，并可根据分析情况和评审需要向投标人提出</w:t>
      </w:r>
      <w:r>
        <w:rPr>
          <w:rFonts w:hint="eastAsia" w:ascii="仿宋" w:hAnsi="仿宋" w:eastAsia="仿宋" w:cs="仿宋"/>
          <w:sz w:val="32"/>
          <w:szCs w:val="32"/>
          <w:lang w:val="en-US" w:eastAsia="zh-CN"/>
        </w:rPr>
        <w:t>质询</w:t>
      </w:r>
      <w:r>
        <w:rPr>
          <w:rFonts w:hint="eastAsia" w:ascii="仿宋" w:hAnsi="仿宋" w:eastAsia="仿宋" w:cs="仿宋"/>
          <w:sz w:val="32"/>
          <w:szCs w:val="32"/>
          <w:lang w:eastAsia="zh-CN"/>
        </w:rPr>
        <w:t>。</w:t>
      </w:r>
    </w:p>
    <w:p>
      <w:pPr>
        <w:ind w:left="0" w:leftChars="0"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、评标委员会通过对投标报价及投标人的答复（</w:t>
      </w:r>
      <w:r>
        <w:rPr>
          <w:rFonts w:hint="eastAsia" w:ascii="仿宋" w:hAnsi="仿宋" w:eastAsia="仿宋" w:cs="仿宋"/>
          <w:sz w:val="32"/>
          <w:szCs w:val="32"/>
          <w:lang w:val="en-US" w:eastAsia="zh-CN"/>
        </w:rPr>
        <w:t>如有</w:t>
      </w:r>
      <w:r>
        <w:rPr>
          <w:rFonts w:hint="eastAsia" w:ascii="仿宋" w:hAnsi="仿宋" w:eastAsia="仿宋" w:cs="仿宋"/>
          <w:sz w:val="32"/>
          <w:szCs w:val="32"/>
          <w:lang w:eastAsia="zh-CN"/>
        </w:rPr>
        <w:t>）进行分析、论证、</w:t>
      </w:r>
      <w:r>
        <w:rPr>
          <w:rFonts w:hint="eastAsia" w:ascii="仿宋" w:hAnsi="仿宋" w:eastAsia="仿宋" w:cs="仿宋"/>
          <w:sz w:val="32"/>
          <w:szCs w:val="32"/>
          <w:highlight w:val="none"/>
          <w:lang w:eastAsia="zh-CN"/>
        </w:rPr>
        <w:t>评估，并按照下列原则判断投标人是否低于成本报价竞标。</w:t>
      </w:r>
    </w:p>
    <w:p>
      <w:pPr>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（1）评标委员会认为投标报价不合理、不可行的。</w:t>
      </w:r>
    </w:p>
    <w:p>
      <w:pPr>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（2）投标人对评标委员会提出的询问不能说明理由或评标委员会经评审认为其理由不能成立的。</w:t>
      </w:r>
    </w:p>
    <w:p>
      <w:pPr>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（3）投标人对评标委员会提出的询问拒绝回复，或回复没有法定代表人或其授权的代理人签字或签章的。</w:t>
      </w:r>
    </w:p>
    <w:p>
      <w:pPr>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、被判定为低于成本竞标的投标报价，评标委员会应否决其投标。</w:t>
      </w:r>
    </w:p>
    <w:p>
      <w:pPr>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、对满足低于成本评审条件的投标报价，经评标委员会评审认为其不低于成本的，应当书面说明理由</w:t>
      </w:r>
      <w:r>
        <w:rPr>
          <w:rFonts w:hint="eastAsia" w:ascii="仿宋" w:hAnsi="仿宋" w:eastAsia="仿宋" w:cs="仿宋"/>
          <w:sz w:val="32"/>
          <w:szCs w:val="32"/>
          <w:lang w:val="en-US" w:eastAsia="zh-CN"/>
        </w:rPr>
        <w:t>并</w:t>
      </w:r>
      <w:r>
        <w:rPr>
          <w:rFonts w:hint="eastAsia" w:ascii="仿宋" w:hAnsi="仿宋" w:eastAsia="仿宋" w:cs="仿宋"/>
          <w:sz w:val="32"/>
          <w:szCs w:val="32"/>
          <w:lang w:eastAsia="zh-CN"/>
        </w:rPr>
        <w:t>签字</w:t>
      </w:r>
      <w:r>
        <w:rPr>
          <w:rFonts w:hint="eastAsia" w:ascii="仿宋" w:hAnsi="仿宋" w:eastAsia="仿宋" w:cs="仿宋"/>
          <w:sz w:val="32"/>
          <w:szCs w:val="32"/>
          <w:lang w:val="en-US" w:eastAsia="zh-CN"/>
        </w:rPr>
        <w:t>确认</w:t>
      </w:r>
      <w:r>
        <w:rPr>
          <w:rFonts w:hint="eastAsia" w:ascii="仿宋" w:hAnsi="仿宋" w:eastAsia="仿宋" w:cs="仿宋"/>
          <w:sz w:val="32"/>
          <w:szCs w:val="32"/>
          <w:lang w:eastAsia="zh-CN"/>
        </w:rPr>
        <w:t>。</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5、对满足低于成本评审条件的投标报价，评标委员会经评审认为其不低于成本的投标报价不参与经济标计分基准价核算。</w:t>
      </w:r>
    </w:p>
    <w:p>
      <w:pPr>
        <w:ind w:left="0" w:leftChars="0"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第</w:t>
      </w:r>
      <w:r>
        <w:rPr>
          <w:rFonts w:hint="eastAsia" w:ascii="仿宋" w:hAnsi="仿宋" w:eastAsia="仿宋" w:cs="仿宋"/>
          <w:sz w:val="32"/>
          <w:szCs w:val="32"/>
          <w:highlight w:val="none"/>
          <w:lang w:val="en-US" w:eastAsia="zh-CN"/>
        </w:rPr>
        <w:t>五</w:t>
      </w:r>
      <w:r>
        <w:rPr>
          <w:rFonts w:hint="eastAsia" w:ascii="仿宋" w:hAnsi="仿宋" w:eastAsia="仿宋" w:cs="仿宋"/>
          <w:sz w:val="32"/>
          <w:szCs w:val="32"/>
          <w:highlight w:val="none"/>
        </w:rPr>
        <w:t>条 不平衡报价评审</w:t>
      </w:r>
    </w:p>
    <w:p>
      <w:pPr>
        <w:ind w:left="0" w:leftChars="0" w:firstLine="640" w:firstLineChars="200"/>
        <w:outlineLvl w:val="0"/>
        <w:rPr>
          <w:rFonts w:hint="eastAsia" w:ascii="仿宋" w:hAnsi="仿宋" w:eastAsia="仿宋" w:cs="仿宋"/>
          <w:sz w:val="32"/>
          <w:szCs w:val="32"/>
        </w:rPr>
      </w:pPr>
      <w:bookmarkStart w:id="4" w:name="_Toc32483"/>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一</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分部分项工程量清单综合单价项目</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包括可计量措施费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不平衡报价</w:t>
      </w:r>
      <w:r>
        <w:rPr>
          <w:rFonts w:hint="eastAsia" w:ascii="仿宋" w:hAnsi="仿宋" w:eastAsia="仿宋" w:cs="仿宋"/>
          <w:sz w:val="32"/>
          <w:szCs w:val="32"/>
        </w:rPr>
        <w:t>的确定</w:t>
      </w:r>
      <w:bookmarkEnd w:id="4"/>
    </w:p>
    <w:p>
      <w:pPr>
        <w:ind w:left="0" w:leftChars="0"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当投标</w:t>
      </w:r>
      <w:r>
        <w:rPr>
          <w:rFonts w:hint="eastAsia" w:ascii="仿宋" w:hAnsi="仿宋" w:eastAsia="仿宋" w:cs="仿宋"/>
          <w:sz w:val="32"/>
          <w:szCs w:val="32"/>
          <w:highlight w:val="none"/>
          <w:lang w:val="en-US" w:eastAsia="zh-CN"/>
        </w:rPr>
        <w:t>报价</w:t>
      </w:r>
      <w:r>
        <w:rPr>
          <w:rFonts w:hint="eastAsia" w:ascii="仿宋" w:hAnsi="仿宋" w:eastAsia="仿宋" w:cs="仿宋"/>
          <w:sz w:val="32"/>
          <w:szCs w:val="32"/>
          <w:highlight w:val="none"/>
        </w:rPr>
        <w:t>的某</w:t>
      </w:r>
      <w:r>
        <w:rPr>
          <w:rFonts w:hint="eastAsia" w:ascii="仿宋" w:hAnsi="仿宋" w:eastAsia="仿宋" w:cs="仿宋"/>
          <w:sz w:val="32"/>
          <w:szCs w:val="32"/>
          <w:highlight w:val="none"/>
          <w:lang w:val="en-US" w:eastAsia="zh-CN"/>
        </w:rPr>
        <w:t>条</w:t>
      </w:r>
      <w:r>
        <w:rPr>
          <w:rFonts w:hint="eastAsia" w:ascii="仿宋" w:hAnsi="仿宋" w:eastAsia="仿宋" w:cs="仿宋"/>
          <w:sz w:val="32"/>
          <w:szCs w:val="32"/>
          <w:highlight w:val="none"/>
        </w:rPr>
        <w:t>分部分项工程量清单项目综合单价低于或高于招标控制价相应项目综合单价15～25%时（具体幅度由招标人在招标文件中明确），该项目的报价视为不平衡报价。</w:t>
      </w:r>
    </w:p>
    <w:p>
      <w:pPr>
        <w:ind w:left="0" w:leftChars="0" w:firstLine="640" w:firstLineChars="200"/>
        <w:outlineLvl w:val="0"/>
        <w:rPr>
          <w:rFonts w:hint="eastAsia" w:ascii="仿宋" w:hAnsi="仿宋" w:eastAsia="仿宋" w:cs="仿宋"/>
          <w:sz w:val="32"/>
          <w:szCs w:val="32"/>
          <w:highlight w:val="none"/>
        </w:rPr>
      </w:pPr>
      <w:bookmarkStart w:id="5" w:name="_Toc12733"/>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单位工程总价</w:t>
      </w:r>
      <w:r>
        <w:rPr>
          <w:rFonts w:hint="eastAsia" w:ascii="仿宋" w:hAnsi="仿宋" w:eastAsia="仿宋" w:cs="仿宋"/>
          <w:sz w:val="32"/>
          <w:szCs w:val="32"/>
          <w:highlight w:val="none"/>
        </w:rPr>
        <w:t>措施项目</w:t>
      </w:r>
      <w:r>
        <w:rPr>
          <w:rFonts w:hint="eastAsia" w:ascii="仿宋" w:hAnsi="仿宋" w:eastAsia="仿宋" w:cs="仿宋"/>
          <w:sz w:val="32"/>
          <w:szCs w:val="32"/>
          <w:highlight w:val="none"/>
          <w:lang w:val="en-US" w:eastAsia="zh-CN"/>
        </w:rPr>
        <w:t>费</w:t>
      </w:r>
      <w:r>
        <w:rPr>
          <w:rFonts w:hint="eastAsia" w:ascii="仿宋" w:hAnsi="仿宋" w:eastAsia="仿宋" w:cs="仿宋"/>
          <w:sz w:val="32"/>
          <w:szCs w:val="32"/>
          <w:highlight w:val="none"/>
        </w:rPr>
        <w:t>不平衡报价的确定</w:t>
      </w:r>
      <w:bookmarkEnd w:id="5"/>
    </w:p>
    <w:p>
      <w:pPr>
        <w:ind w:left="0" w:leftChars="0"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当投标</w:t>
      </w:r>
      <w:r>
        <w:rPr>
          <w:rFonts w:hint="eastAsia" w:ascii="仿宋" w:hAnsi="仿宋" w:eastAsia="仿宋" w:cs="仿宋"/>
          <w:sz w:val="32"/>
          <w:szCs w:val="32"/>
          <w:highlight w:val="none"/>
          <w:lang w:val="en-US" w:eastAsia="zh-CN"/>
        </w:rPr>
        <w:t>报价单位工程中总价</w:t>
      </w:r>
      <w:r>
        <w:rPr>
          <w:rFonts w:hint="eastAsia" w:ascii="仿宋" w:hAnsi="仿宋" w:eastAsia="仿宋" w:cs="仿宋"/>
          <w:sz w:val="32"/>
          <w:szCs w:val="32"/>
          <w:highlight w:val="none"/>
        </w:rPr>
        <w:t>措施项目</w:t>
      </w:r>
      <w:r>
        <w:rPr>
          <w:rFonts w:hint="eastAsia" w:ascii="仿宋" w:hAnsi="仿宋" w:eastAsia="仿宋" w:cs="仿宋"/>
          <w:sz w:val="32"/>
          <w:szCs w:val="32"/>
          <w:highlight w:val="none"/>
          <w:lang w:val="en-US" w:eastAsia="zh-CN"/>
        </w:rPr>
        <w:t>费</w:t>
      </w:r>
      <w:r>
        <w:rPr>
          <w:rFonts w:hint="eastAsia" w:ascii="仿宋" w:hAnsi="仿宋" w:eastAsia="仿宋" w:cs="仿宋"/>
          <w:sz w:val="32"/>
          <w:szCs w:val="32"/>
          <w:highlight w:val="none"/>
        </w:rPr>
        <w:t>总价低于或高于招标控制价相应价格25～35%时（具体幅度由招标人在招标文件中明确），该</w:t>
      </w:r>
      <w:r>
        <w:rPr>
          <w:rFonts w:hint="eastAsia" w:ascii="仿宋" w:hAnsi="仿宋" w:eastAsia="仿宋" w:cs="仿宋"/>
          <w:sz w:val="32"/>
          <w:szCs w:val="32"/>
          <w:highlight w:val="none"/>
          <w:lang w:val="en-US" w:eastAsia="zh-CN"/>
        </w:rPr>
        <w:t>单位工程总价</w:t>
      </w:r>
      <w:r>
        <w:rPr>
          <w:rFonts w:hint="eastAsia" w:ascii="仿宋" w:hAnsi="仿宋" w:eastAsia="仿宋" w:cs="仿宋"/>
          <w:sz w:val="32"/>
          <w:szCs w:val="32"/>
          <w:highlight w:val="none"/>
        </w:rPr>
        <w:t>措施项目报价视为不平衡报价。</w:t>
      </w:r>
    </w:p>
    <w:p>
      <w:pPr>
        <w:ind w:left="0" w:leftChars="0" w:firstLine="640" w:firstLineChars="200"/>
        <w:outlineLvl w:val="0"/>
        <w:rPr>
          <w:rFonts w:hint="eastAsia" w:ascii="仿宋" w:hAnsi="仿宋" w:eastAsia="仿宋" w:cs="仿宋"/>
          <w:sz w:val="32"/>
          <w:szCs w:val="32"/>
        </w:rPr>
      </w:pPr>
      <w:bookmarkStart w:id="6" w:name="_Toc5049"/>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不平衡报价项目金额计算</w:t>
      </w:r>
      <w:bookmarkEnd w:id="6"/>
    </w:p>
    <w:p>
      <w:pPr>
        <w:ind w:left="0" w:leftChars="0"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投标人不平衡报价项目的金额=∑</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确定为不平衡报价的分部分项工程量清单项目（包括可计量措施费）的招标控制价相应</w:t>
      </w:r>
      <w:r>
        <w:rPr>
          <w:rFonts w:hint="eastAsia" w:ascii="仿宋" w:hAnsi="仿宋" w:eastAsia="仿宋" w:cs="仿宋"/>
          <w:sz w:val="32"/>
          <w:szCs w:val="32"/>
          <w:highlight w:val="none"/>
          <w:lang w:val="en-US" w:eastAsia="zh-CN"/>
        </w:rPr>
        <w:t>合价</w:t>
      </w:r>
      <w:r>
        <w:rPr>
          <w:rFonts w:hint="eastAsia" w:ascii="仿宋" w:hAnsi="仿宋" w:eastAsia="仿宋" w:cs="仿宋"/>
          <w:sz w:val="32"/>
          <w:szCs w:val="32"/>
          <w:highlight w:val="none"/>
        </w:rPr>
        <w:t>+确定为不平衡报价的单位工程总价措施项目的招标控制价相应</w:t>
      </w:r>
      <w:r>
        <w:rPr>
          <w:rFonts w:hint="eastAsia" w:ascii="仿宋" w:hAnsi="仿宋" w:eastAsia="仿宋" w:cs="仿宋"/>
          <w:sz w:val="32"/>
          <w:szCs w:val="32"/>
          <w:highlight w:val="none"/>
          <w:lang w:val="en-US" w:eastAsia="zh-CN"/>
        </w:rPr>
        <w:t>合价]</w:t>
      </w:r>
    </w:p>
    <w:p>
      <w:pPr>
        <w:ind w:left="0" w:leftChars="0" w:firstLine="640" w:firstLineChars="200"/>
        <w:outlineLvl w:val="0"/>
        <w:rPr>
          <w:rFonts w:hint="eastAsia" w:ascii="仿宋" w:hAnsi="仿宋" w:eastAsia="仿宋" w:cs="仿宋"/>
          <w:sz w:val="32"/>
          <w:szCs w:val="32"/>
        </w:rPr>
      </w:pPr>
      <w:bookmarkStart w:id="7" w:name="_Toc5080"/>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不平衡报价的处理</w:t>
      </w:r>
      <w:bookmarkEnd w:id="7"/>
    </w:p>
    <w:p>
      <w:pPr>
        <w:ind w:left="0" w:leftChars="0"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当投标人不平衡报价项目的金额超过招标控制价的20%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含</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时，评标委员会应否决其投标。</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当投标人不平衡报价项目的金额</w:t>
      </w:r>
      <w:r>
        <w:rPr>
          <w:rFonts w:hint="eastAsia" w:ascii="仿宋" w:hAnsi="仿宋" w:eastAsia="仿宋" w:cs="仿宋"/>
          <w:sz w:val="32"/>
          <w:szCs w:val="32"/>
          <w:lang w:val="en-US" w:eastAsia="zh-CN"/>
        </w:rPr>
        <w:t>在</w:t>
      </w:r>
      <w:r>
        <w:rPr>
          <w:rFonts w:hint="eastAsia" w:ascii="仿宋" w:hAnsi="仿宋" w:eastAsia="仿宋" w:cs="仿宋"/>
          <w:sz w:val="32"/>
          <w:szCs w:val="32"/>
        </w:rPr>
        <w:t>招标控制价的10</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含</w:t>
      </w:r>
      <w:r>
        <w:rPr>
          <w:rFonts w:hint="eastAsia" w:ascii="仿宋" w:hAnsi="仿宋" w:eastAsia="仿宋" w:cs="仿宋"/>
          <w:sz w:val="32"/>
          <w:szCs w:val="32"/>
          <w:lang w:eastAsia="zh-CN"/>
        </w:rPr>
        <w:t>）</w:t>
      </w:r>
      <w:r>
        <w:rPr>
          <w:rFonts w:hint="eastAsia" w:ascii="仿宋" w:hAnsi="仿宋" w:eastAsia="仿宋" w:cs="仿宋"/>
          <w:sz w:val="32"/>
          <w:szCs w:val="32"/>
        </w:rPr>
        <w:t>～20%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不含</w:t>
      </w:r>
      <w:r>
        <w:rPr>
          <w:rFonts w:hint="eastAsia" w:ascii="仿宋" w:hAnsi="仿宋" w:eastAsia="仿宋" w:cs="仿宋"/>
          <w:sz w:val="32"/>
          <w:szCs w:val="32"/>
          <w:lang w:eastAsia="zh-CN"/>
        </w:rPr>
        <w:t>）</w:t>
      </w:r>
      <w:r>
        <w:rPr>
          <w:rFonts w:hint="eastAsia" w:ascii="仿宋" w:hAnsi="仿宋" w:eastAsia="仿宋" w:cs="仿宋"/>
          <w:sz w:val="32"/>
          <w:szCs w:val="32"/>
        </w:rPr>
        <w:t>时，评标委员会应在评标报告中记录，提示招标人在签订合同中的注意事项，并在施工过程中加强风险防范。</w:t>
      </w:r>
    </w:p>
    <w:p>
      <w:pPr>
        <w:ind w:left="0" w:leftChars="0"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3、对经评审认定为不平衡报价评审条件的投标报价，评标委员会经评审认为其不属于不平衡报价的，应当书面说明理由，评标委员会成员应当签字并承担相应法律责任。</w:t>
      </w:r>
    </w:p>
    <w:p>
      <w:pPr>
        <w:ind w:left="0" w:leftChars="0"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第六条 </w:t>
      </w:r>
      <w:r>
        <w:rPr>
          <w:rFonts w:hint="eastAsia" w:ascii="仿宋" w:hAnsi="仿宋" w:eastAsia="仿宋" w:cs="仿宋"/>
          <w:sz w:val="32"/>
          <w:szCs w:val="32"/>
          <w:highlight w:val="none"/>
        </w:rPr>
        <w:t>安全文明施工费、规费计取基础报价评审</w:t>
      </w:r>
    </w:p>
    <w:p>
      <w:pPr>
        <w:ind w:left="0" w:leftChars="0" w:firstLine="640" w:firstLineChars="200"/>
        <w:rPr>
          <w:rFonts w:hint="eastAsia" w:ascii="仿宋" w:hAnsi="仿宋" w:eastAsia="仿宋" w:cs="仿宋"/>
          <w:sz w:val="32"/>
          <w:szCs w:val="32"/>
          <w:highlight w:val="none"/>
        </w:rPr>
      </w:pPr>
      <w:r>
        <w:rPr>
          <w:rFonts w:hint="eastAsia" w:ascii="仿宋" w:hAnsi="仿宋" w:eastAsia="仿宋" w:cs="仿宋"/>
          <w:sz w:val="32"/>
          <w:szCs w:val="32"/>
          <w:lang w:val="en-US" w:eastAsia="zh-CN"/>
        </w:rPr>
        <w:t>（一）</w:t>
      </w:r>
      <w:r>
        <w:rPr>
          <w:rFonts w:hint="eastAsia" w:ascii="仿宋" w:hAnsi="仿宋" w:eastAsia="仿宋" w:cs="仿宋"/>
          <w:sz w:val="32"/>
          <w:szCs w:val="32"/>
        </w:rPr>
        <w:t>投标人投标报价中</w:t>
      </w:r>
      <w:r>
        <w:rPr>
          <w:rFonts w:hint="eastAsia" w:ascii="仿宋" w:hAnsi="仿宋" w:eastAsia="仿宋" w:cs="仿宋"/>
          <w:sz w:val="32"/>
          <w:szCs w:val="32"/>
          <w:lang w:val="en-US" w:eastAsia="zh-CN"/>
        </w:rPr>
        <w:t>所有</w:t>
      </w:r>
      <w:r>
        <w:rPr>
          <w:rFonts w:hint="eastAsia" w:ascii="仿宋" w:hAnsi="仿宋" w:eastAsia="仿宋" w:cs="仿宋"/>
          <w:sz w:val="32"/>
          <w:szCs w:val="32"/>
        </w:rPr>
        <w:t>单位工程的安全文明施工费</w:t>
      </w:r>
      <w:r>
        <w:rPr>
          <w:rFonts w:hint="eastAsia" w:ascii="仿宋" w:hAnsi="仿宋" w:eastAsia="仿宋" w:cs="仿宋"/>
          <w:sz w:val="32"/>
          <w:szCs w:val="32"/>
          <w:lang w:eastAsia="zh-CN"/>
        </w:rPr>
        <w:t>、</w:t>
      </w:r>
      <w:r>
        <w:rPr>
          <w:rFonts w:hint="eastAsia" w:ascii="仿宋" w:hAnsi="仿宋" w:eastAsia="仿宋" w:cs="仿宋"/>
          <w:sz w:val="32"/>
          <w:szCs w:val="32"/>
        </w:rPr>
        <w:t>规费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税金实际</w:t>
      </w:r>
      <w:r>
        <w:rPr>
          <w:rFonts w:hint="eastAsia" w:ascii="仿宋" w:hAnsi="仿宋" w:eastAsia="仿宋" w:cs="仿宋"/>
          <w:sz w:val="32"/>
          <w:szCs w:val="32"/>
        </w:rPr>
        <w:t>计取基础低于或高于招标控制价相应金额30%</w:t>
      </w:r>
      <w:r>
        <w:rPr>
          <w:rFonts w:hint="eastAsia" w:ascii="仿宋" w:hAnsi="仿宋" w:eastAsia="仿宋" w:cs="仿宋"/>
          <w:sz w:val="32"/>
          <w:szCs w:val="32"/>
          <w:highlight w:val="none"/>
        </w:rPr>
        <w:t>的</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评标委员会应对其投标报价中安全文明施工费和规费计取基础的合规性、合理性进行分析，并可根据分析情况和评审需要向投标人提出</w:t>
      </w:r>
      <w:r>
        <w:rPr>
          <w:rFonts w:hint="eastAsia" w:ascii="仿宋" w:hAnsi="仿宋" w:eastAsia="仿宋" w:cs="仿宋"/>
          <w:sz w:val="32"/>
          <w:szCs w:val="32"/>
          <w:highlight w:val="none"/>
          <w:lang w:val="en-US" w:eastAsia="zh-CN"/>
        </w:rPr>
        <w:t>质询</w:t>
      </w:r>
      <w:r>
        <w:rPr>
          <w:rFonts w:hint="eastAsia" w:ascii="仿宋" w:hAnsi="仿宋" w:eastAsia="仿宋" w:cs="仿宋"/>
          <w:sz w:val="32"/>
          <w:szCs w:val="32"/>
          <w:highlight w:val="none"/>
        </w:rPr>
        <w:t>。</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投标人投标报价中单位工程的安全文明施工费、规费、税金实际计取基础=∑[安全文明施工费、规费、税金/招标清单对应费率]。</w:t>
      </w:r>
    </w:p>
    <w:p>
      <w:pPr>
        <w:ind w:left="0" w:leftChars="0"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经评标委员会分析、质询后存在以下情形的，</w:t>
      </w:r>
      <w:r>
        <w:rPr>
          <w:rFonts w:hint="eastAsia" w:ascii="仿宋" w:hAnsi="仿宋" w:eastAsia="仿宋" w:cs="仿宋"/>
          <w:sz w:val="32"/>
          <w:szCs w:val="32"/>
          <w:highlight w:val="none"/>
        </w:rPr>
        <w:t>应认定该投标人擅自改变安全文明施工费、规费计取基础报价。</w:t>
      </w:r>
    </w:p>
    <w:p>
      <w:pPr>
        <w:ind w:left="0" w:leftChars="0" w:firstLine="640" w:firstLineChars="200"/>
        <w:rPr>
          <w:rFonts w:hint="eastAsia" w:ascii="仿宋" w:hAnsi="仿宋" w:eastAsia="仿宋" w:cs="仿宋"/>
          <w:sz w:val="32"/>
          <w:szCs w:val="32"/>
          <w:highlight w:val="yellow"/>
        </w:rPr>
      </w:pPr>
      <w:r>
        <w:rPr>
          <w:rFonts w:hint="eastAsia" w:ascii="仿宋" w:hAnsi="仿宋" w:eastAsia="仿宋" w:cs="仿宋"/>
          <w:sz w:val="32"/>
          <w:szCs w:val="32"/>
          <w:lang w:val="en-US" w:eastAsia="zh-CN"/>
        </w:rPr>
        <w:t>一是</w:t>
      </w:r>
      <w:r>
        <w:rPr>
          <w:rFonts w:hint="eastAsia" w:ascii="仿宋" w:hAnsi="仿宋" w:eastAsia="仿宋" w:cs="仿宋"/>
          <w:sz w:val="32"/>
          <w:szCs w:val="32"/>
        </w:rPr>
        <w:t>评标委员会认为投标报价明显不合理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或认为投标人</w:t>
      </w:r>
      <w:r>
        <w:rPr>
          <w:rFonts w:hint="eastAsia" w:ascii="仿宋" w:hAnsi="仿宋" w:eastAsia="仿宋" w:cs="仿宋"/>
          <w:sz w:val="32"/>
          <w:szCs w:val="32"/>
        </w:rPr>
        <w:t>理由不能成立的</w:t>
      </w:r>
      <w:r>
        <w:rPr>
          <w:rFonts w:hint="eastAsia" w:ascii="仿宋" w:hAnsi="仿宋" w:eastAsia="仿宋" w:cs="仿宋"/>
          <w:sz w:val="32"/>
          <w:szCs w:val="32"/>
          <w:lang w:eastAsia="zh-CN"/>
        </w:rPr>
        <w:t>；</w:t>
      </w:r>
    </w:p>
    <w:p>
      <w:pPr>
        <w:ind w:left="0" w:leftChars="0" w:firstLine="640" w:firstLineChars="200"/>
        <w:rPr>
          <w:rFonts w:hint="eastAsia" w:ascii="仿宋" w:hAnsi="仿宋" w:eastAsia="仿宋" w:cs="仿宋"/>
          <w:sz w:val="32"/>
          <w:szCs w:val="32"/>
          <w:highlight w:val="yellow"/>
        </w:rPr>
      </w:pPr>
      <w:r>
        <w:rPr>
          <w:rFonts w:hint="eastAsia" w:ascii="仿宋" w:hAnsi="仿宋" w:eastAsia="仿宋" w:cs="仿宋"/>
          <w:sz w:val="32"/>
          <w:szCs w:val="32"/>
          <w:lang w:val="en-US" w:eastAsia="zh-CN"/>
        </w:rPr>
        <w:t>二是</w:t>
      </w:r>
      <w:r>
        <w:rPr>
          <w:rFonts w:hint="eastAsia" w:ascii="仿宋" w:hAnsi="仿宋" w:eastAsia="仿宋" w:cs="仿宋"/>
          <w:sz w:val="32"/>
          <w:szCs w:val="32"/>
        </w:rPr>
        <w:t>投标人对评标委员会提出的询问拒绝回复，</w:t>
      </w:r>
      <w:r>
        <w:rPr>
          <w:rFonts w:hint="eastAsia" w:ascii="仿宋" w:hAnsi="仿宋" w:eastAsia="仿宋" w:cs="仿宋"/>
          <w:sz w:val="32"/>
          <w:szCs w:val="32"/>
          <w:lang w:val="en-US" w:eastAsia="zh-CN"/>
        </w:rPr>
        <w:t>或未在规定时间内回复的。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被判定为擅自改变安全文明施工费或（和）规费计取基础的投标报价，评标委员会应否决其投标。</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对投标人投标报价中单位工程的安全文明施工费或、规费计取基础低于或高于招标控制价相应金额30%的，经评标委员会评审认为其不存在擅自改变安全文明施工费、规费计取基础情形的，应当书面说明理由，评标委员会成员应当签字并承担相应法律责任。</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第七条 </w:t>
      </w:r>
      <w:r>
        <w:rPr>
          <w:rFonts w:hint="eastAsia" w:ascii="仿宋" w:hAnsi="仿宋" w:eastAsia="仿宋" w:cs="仿宋"/>
          <w:sz w:val="32"/>
          <w:szCs w:val="32"/>
        </w:rPr>
        <w:t>本办法所称的“以下”、“以上”</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高于</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低于</w:t>
      </w:r>
      <w:r>
        <w:rPr>
          <w:rFonts w:hint="eastAsia" w:ascii="仿宋" w:hAnsi="仿宋" w:eastAsia="仿宋" w:cs="仿宋"/>
          <w:sz w:val="32"/>
          <w:szCs w:val="32"/>
          <w:lang w:eastAsia="zh-CN"/>
        </w:rPr>
        <w:t>”</w:t>
      </w:r>
      <w:r>
        <w:rPr>
          <w:rFonts w:hint="eastAsia" w:ascii="仿宋" w:hAnsi="仿宋" w:eastAsia="仿宋" w:cs="仿宋"/>
          <w:sz w:val="32"/>
          <w:szCs w:val="32"/>
        </w:rPr>
        <w:t>均含本数。</w:t>
      </w:r>
    </w:p>
    <w:p>
      <w:pPr>
        <w:rPr>
          <w:rFonts w:hint="eastAsia" w:ascii="仿宋" w:hAnsi="仿宋" w:eastAsia="仿宋" w:cs="仿宋"/>
          <w:sz w:val="32"/>
          <w:szCs w:val="32"/>
        </w:rPr>
      </w:pPr>
    </w:p>
    <w:p>
      <w:pPr>
        <w:ind w:left="0" w:leftChars="0" w:firstLine="640" w:firstLineChars="200"/>
        <w:outlineLvl w:val="0"/>
        <w:rPr>
          <w:rFonts w:hint="eastAsia" w:ascii="仿宋" w:hAnsi="仿宋" w:eastAsia="仿宋" w:cs="仿宋"/>
          <w:sz w:val="32"/>
          <w:szCs w:val="32"/>
          <w:lang w:val="en-US" w:eastAsia="zh-CN"/>
        </w:rPr>
      </w:pPr>
      <w:bookmarkStart w:id="8" w:name="_Toc8243"/>
      <w:r>
        <w:rPr>
          <w:rFonts w:hint="eastAsia" w:ascii="仿宋" w:hAnsi="仿宋" w:eastAsia="仿宋" w:cs="仿宋"/>
          <w:sz w:val="32"/>
          <w:szCs w:val="32"/>
          <w:lang w:val="en-US" w:eastAsia="zh-CN"/>
        </w:rPr>
        <w:t>附表1：</w:t>
      </w:r>
      <w:bookmarkEnd w:id="8"/>
      <w:bookmarkStart w:id="9" w:name="_Toc6190"/>
      <w:r>
        <w:rPr>
          <w:rFonts w:hint="eastAsia" w:ascii="仿宋" w:hAnsi="仿宋" w:eastAsia="仿宋" w:cs="仿宋"/>
          <w:sz w:val="32"/>
          <w:szCs w:val="32"/>
          <w:lang w:eastAsia="zh-CN"/>
        </w:rPr>
        <w:t>评标专家向投标人质疑用表</w:t>
      </w:r>
    </w:p>
    <w:p>
      <w:pPr>
        <w:ind w:left="0" w:leftChars="0" w:firstLine="640" w:firstLineChars="200"/>
        <w:outlineLvl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附表2：</w:t>
      </w:r>
      <w:bookmarkEnd w:id="9"/>
      <w:r>
        <w:rPr>
          <w:rFonts w:hint="eastAsia" w:ascii="仿宋" w:hAnsi="仿宋" w:eastAsia="仿宋" w:cs="仿宋"/>
          <w:sz w:val="32"/>
          <w:szCs w:val="32"/>
          <w:lang w:eastAsia="zh-CN"/>
        </w:rPr>
        <w:t>投标总报价成本评审记录表</w:t>
      </w:r>
      <w:r>
        <w:rPr>
          <w:rFonts w:hint="eastAsia" w:ascii="仿宋" w:hAnsi="仿宋" w:eastAsia="仿宋" w:cs="仿宋"/>
          <w:sz w:val="32"/>
          <w:szCs w:val="32"/>
          <w:lang w:val="en-US" w:eastAsia="zh-CN"/>
        </w:rPr>
        <w:t xml:space="preserve"> </w:t>
      </w:r>
    </w:p>
    <w:p>
      <w:pPr>
        <w:ind w:left="0" w:leftChars="0" w:firstLine="640" w:firstLineChars="200"/>
        <w:outlineLvl w:val="0"/>
        <w:rPr>
          <w:rFonts w:hint="eastAsia" w:ascii="仿宋" w:hAnsi="仿宋" w:eastAsia="仿宋" w:cs="仿宋"/>
          <w:sz w:val="32"/>
          <w:szCs w:val="32"/>
          <w:lang w:val="en-US" w:eastAsia="zh-CN"/>
        </w:rPr>
      </w:pPr>
      <w:bookmarkStart w:id="10" w:name="_Toc20365"/>
      <w:r>
        <w:rPr>
          <w:rFonts w:hint="eastAsia" w:ascii="仿宋" w:hAnsi="仿宋" w:eastAsia="仿宋" w:cs="仿宋"/>
          <w:sz w:val="32"/>
          <w:szCs w:val="32"/>
          <w:lang w:val="en-US" w:eastAsia="zh-CN"/>
        </w:rPr>
        <w:t>附表3：</w:t>
      </w:r>
      <w:bookmarkEnd w:id="10"/>
      <w:r>
        <w:rPr>
          <w:rFonts w:hint="eastAsia" w:ascii="仿宋" w:hAnsi="仿宋" w:eastAsia="仿宋" w:cs="仿宋"/>
          <w:sz w:val="32"/>
          <w:szCs w:val="32"/>
          <w:lang w:val="en-US" w:eastAsia="zh-CN"/>
        </w:rPr>
        <w:t>重点单价成本评审记录表</w:t>
      </w:r>
    </w:p>
    <w:p>
      <w:pPr>
        <w:ind w:left="0" w:leftChars="0" w:firstLine="640" w:firstLineChars="200"/>
        <w:outlineLvl w:val="0"/>
        <w:rPr>
          <w:rFonts w:hint="eastAsia" w:ascii="仿宋" w:hAnsi="仿宋" w:eastAsia="仿宋" w:cs="仿宋"/>
          <w:sz w:val="32"/>
          <w:szCs w:val="32"/>
          <w:lang w:val="en-US" w:eastAsia="zh-CN"/>
        </w:rPr>
      </w:pPr>
      <w:bookmarkStart w:id="11" w:name="_Toc10289"/>
      <w:r>
        <w:rPr>
          <w:rFonts w:hint="eastAsia" w:ascii="仿宋" w:hAnsi="仿宋" w:eastAsia="仿宋" w:cs="仿宋"/>
          <w:sz w:val="32"/>
          <w:szCs w:val="32"/>
          <w:lang w:val="en-US" w:eastAsia="zh-CN"/>
        </w:rPr>
        <w:t>附表4：</w:t>
      </w:r>
      <w:bookmarkEnd w:id="11"/>
      <w:r>
        <w:rPr>
          <w:rFonts w:hint="eastAsia" w:ascii="仿宋" w:hAnsi="仿宋" w:eastAsia="仿宋" w:cs="仿宋"/>
          <w:sz w:val="32"/>
          <w:szCs w:val="32"/>
          <w:lang w:val="en-US" w:eastAsia="zh-CN"/>
        </w:rPr>
        <w:t>不平衡报价评审记录表</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附表5：安全文明施工费、规费计取基础报价评审</w:t>
      </w:r>
    </w:p>
    <w:p>
      <w:pPr>
        <w:ind w:left="0" w:leftChars="0" w:firstLine="2880" w:firstLineChars="900"/>
        <w:rPr>
          <w:rFonts w:hint="eastAsia" w:ascii="仿宋" w:hAnsi="仿宋" w:eastAsia="仿宋" w:cs="仿宋"/>
          <w:sz w:val="32"/>
          <w:szCs w:val="32"/>
        </w:rPr>
      </w:pPr>
    </w:p>
    <w:p>
      <w:pPr>
        <w:rPr>
          <w:rFonts w:hint="eastAsia" w:ascii="仿宋" w:hAnsi="仿宋" w:eastAsia="仿宋" w:cs="仿宋"/>
          <w:sz w:val="32"/>
          <w:szCs w:val="32"/>
        </w:rPr>
        <w:sectPr>
          <w:pgSz w:w="11906" w:h="16838"/>
          <w:pgMar w:top="1440" w:right="1800" w:bottom="1440" w:left="1800" w:header="851" w:footer="992" w:gutter="0"/>
          <w:cols w:space="425" w:num="1"/>
          <w:docGrid w:type="lines" w:linePitch="312" w:charSpace="0"/>
        </w:sectPr>
      </w:pPr>
    </w:p>
    <w:p>
      <w:pPr>
        <w:spacing w:line="400" w:lineRule="exact"/>
        <w:outlineLvl w:val="0"/>
        <w:rPr>
          <w:rFonts w:hint="eastAsia" w:ascii="仿宋" w:hAnsi="仿宋" w:eastAsia="仿宋" w:cs="仿宋"/>
          <w:b/>
          <w:bCs/>
          <w:sz w:val="32"/>
          <w:szCs w:val="32"/>
          <w:lang w:val="en-US" w:eastAsia="zh-CN"/>
        </w:rPr>
      </w:pPr>
      <w:bookmarkStart w:id="12" w:name="_Toc19437"/>
      <w:r>
        <w:rPr>
          <w:rFonts w:hint="eastAsia" w:ascii="仿宋" w:hAnsi="仿宋" w:eastAsia="仿宋" w:cs="仿宋"/>
          <w:b/>
          <w:bCs/>
          <w:sz w:val="32"/>
          <w:szCs w:val="32"/>
        </w:rPr>
        <w:t>附</w:t>
      </w:r>
      <w:r>
        <w:rPr>
          <w:rFonts w:hint="eastAsia" w:ascii="仿宋" w:hAnsi="仿宋" w:eastAsia="仿宋" w:cs="仿宋"/>
          <w:b/>
          <w:bCs/>
          <w:sz w:val="32"/>
          <w:szCs w:val="32"/>
          <w:lang w:val="en-US" w:eastAsia="zh-CN"/>
        </w:rPr>
        <w:t>表1</w:t>
      </w:r>
      <w:bookmarkEnd w:id="12"/>
      <w:r>
        <w:rPr>
          <w:rFonts w:hint="eastAsia" w:ascii="仿宋" w:hAnsi="仿宋" w:eastAsia="仿宋" w:cs="仿宋"/>
          <w:b/>
          <w:bCs/>
          <w:sz w:val="32"/>
          <w:szCs w:val="32"/>
          <w:lang w:val="en-US" w:eastAsia="zh-CN"/>
        </w:rPr>
        <w:t>：</w:t>
      </w:r>
    </w:p>
    <w:p>
      <w:pPr>
        <w:jc w:val="center"/>
        <w:rPr>
          <w:rFonts w:eastAsia="仿宋_GB2312"/>
          <w:sz w:val="32"/>
          <w:szCs w:val="32"/>
        </w:rPr>
      </w:pPr>
      <w:r>
        <w:rPr>
          <w:rFonts w:eastAsia="方正小标宋简体"/>
          <w:sz w:val="44"/>
          <w:szCs w:val="44"/>
        </w:rPr>
        <w:t>评标专家向投标人质疑用表</w:t>
      </w:r>
    </w:p>
    <w:p>
      <w:pPr>
        <w:spacing w:line="360" w:lineRule="auto"/>
        <w:rPr>
          <w:sz w:val="24"/>
        </w:rPr>
      </w:pPr>
      <w:r>
        <w:rPr>
          <w:sz w:val="24"/>
        </w:rPr>
        <w:t>投标人名称：                                               编号：</w:t>
      </w:r>
    </w:p>
    <w:tbl>
      <w:tblPr>
        <w:tblStyle w:val="8"/>
        <w:tblpPr w:leftFromText="180" w:rightFromText="180" w:vertAnchor="text" w:tblpY="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51"/>
        <w:gridCol w:w="7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668" w:type="dxa"/>
            <w:gridSpan w:val="2"/>
            <w:noWrap w:val="0"/>
            <w:vAlign w:val="center"/>
          </w:tcPr>
          <w:p>
            <w:pPr>
              <w:spacing w:line="360" w:lineRule="auto"/>
              <w:jc w:val="center"/>
              <w:rPr>
                <w:sz w:val="22"/>
                <w:szCs w:val="22"/>
              </w:rPr>
            </w:pPr>
            <w:r>
              <w:rPr>
                <w:sz w:val="22"/>
                <w:szCs w:val="22"/>
              </w:rPr>
              <w:t>工程名称</w:t>
            </w:r>
          </w:p>
        </w:tc>
        <w:tc>
          <w:tcPr>
            <w:tcW w:w="7512" w:type="dxa"/>
            <w:noWrap w:val="0"/>
            <w:vAlign w:val="center"/>
          </w:tcPr>
          <w:p>
            <w:pPr>
              <w:spacing w:line="360" w:lineRule="auto"/>
              <w:ind w:firstLine="2310" w:firstLineChars="1050"/>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8" w:hRule="atLeast"/>
        </w:trPr>
        <w:tc>
          <w:tcPr>
            <w:tcW w:w="817" w:type="dxa"/>
            <w:noWrap w:val="0"/>
            <w:vAlign w:val="top"/>
          </w:tcPr>
          <w:p>
            <w:pPr>
              <w:jc w:val="center"/>
              <w:rPr>
                <w:sz w:val="22"/>
                <w:szCs w:val="22"/>
              </w:rPr>
            </w:pPr>
          </w:p>
          <w:p>
            <w:pPr>
              <w:jc w:val="center"/>
              <w:rPr>
                <w:sz w:val="22"/>
                <w:szCs w:val="22"/>
              </w:rPr>
            </w:pPr>
            <w:r>
              <w:rPr>
                <w:sz w:val="22"/>
                <w:szCs w:val="22"/>
              </w:rPr>
              <w:t>质</w:t>
            </w:r>
          </w:p>
          <w:p>
            <w:pPr>
              <w:jc w:val="center"/>
              <w:rPr>
                <w:sz w:val="22"/>
                <w:szCs w:val="22"/>
              </w:rPr>
            </w:pPr>
            <w:r>
              <w:rPr>
                <w:sz w:val="22"/>
                <w:szCs w:val="22"/>
              </w:rPr>
              <w:t>疑</w:t>
            </w:r>
          </w:p>
          <w:p>
            <w:pPr>
              <w:jc w:val="center"/>
              <w:rPr>
                <w:sz w:val="22"/>
                <w:szCs w:val="22"/>
              </w:rPr>
            </w:pPr>
            <w:r>
              <w:rPr>
                <w:sz w:val="22"/>
                <w:szCs w:val="22"/>
              </w:rPr>
              <w:t>问</w:t>
            </w:r>
          </w:p>
          <w:p>
            <w:pPr>
              <w:jc w:val="center"/>
              <w:rPr>
                <w:sz w:val="22"/>
                <w:szCs w:val="22"/>
              </w:rPr>
            </w:pPr>
            <w:r>
              <w:rPr>
                <w:sz w:val="22"/>
                <w:szCs w:val="22"/>
              </w:rPr>
              <w:t>题</w:t>
            </w:r>
          </w:p>
          <w:p>
            <w:pPr>
              <w:jc w:val="center"/>
              <w:rPr>
                <w:sz w:val="22"/>
                <w:szCs w:val="22"/>
              </w:rPr>
            </w:pPr>
          </w:p>
        </w:tc>
        <w:tc>
          <w:tcPr>
            <w:tcW w:w="8363" w:type="dxa"/>
            <w:gridSpan w:val="2"/>
            <w:noWrap w:val="0"/>
            <w:vAlign w:val="top"/>
          </w:tcPr>
          <w:p>
            <w:pPr>
              <w:spacing w:line="400" w:lineRule="exact"/>
              <w:rPr>
                <w:sz w:val="22"/>
                <w:szCs w:val="22"/>
              </w:rPr>
            </w:pPr>
          </w:p>
          <w:p>
            <w:pPr>
              <w:spacing w:line="400" w:lineRule="exact"/>
              <w:rPr>
                <w:sz w:val="22"/>
                <w:szCs w:val="22"/>
                <w:u w:val="single"/>
              </w:rPr>
            </w:pPr>
          </w:p>
          <w:p>
            <w:pPr>
              <w:spacing w:line="400" w:lineRule="exact"/>
              <w:rPr>
                <w:sz w:val="22"/>
                <w:szCs w:val="22"/>
              </w:rPr>
            </w:pPr>
            <w:r>
              <w:rPr>
                <w:sz w:val="22"/>
                <w:szCs w:val="22"/>
                <w:u w:val="single"/>
              </w:rPr>
              <w:t xml:space="preserve">                          </w:t>
            </w:r>
            <w:r>
              <w:rPr>
                <w:sz w:val="22"/>
                <w:szCs w:val="22"/>
              </w:rPr>
              <w:t>（项目名称）</w:t>
            </w:r>
            <w:r>
              <w:rPr>
                <w:sz w:val="22"/>
                <w:szCs w:val="22"/>
                <w:u w:val="single"/>
              </w:rPr>
              <w:t xml:space="preserve">         </w:t>
            </w:r>
            <w:r>
              <w:rPr>
                <w:sz w:val="22"/>
                <w:szCs w:val="22"/>
              </w:rPr>
              <w:t>标段施工招标评标委员会</w:t>
            </w:r>
          </w:p>
          <w:p>
            <w:pPr>
              <w:spacing w:line="400" w:lineRule="exact"/>
              <w:rPr>
                <w:sz w:val="22"/>
                <w:szCs w:val="22"/>
              </w:rPr>
            </w:pPr>
            <w:r>
              <w:rPr>
                <w:sz w:val="22"/>
                <w:szCs w:val="22"/>
              </w:rPr>
              <w:t xml:space="preserve">         </w:t>
            </w:r>
          </w:p>
          <w:p>
            <w:pPr>
              <w:spacing w:line="400" w:lineRule="exact"/>
              <w:rPr>
                <w:sz w:val="22"/>
                <w:szCs w:val="22"/>
              </w:rPr>
            </w:pPr>
            <w:r>
              <w:rPr>
                <w:sz w:val="22"/>
                <w:szCs w:val="22"/>
              </w:rPr>
              <w:t xml:space="preserve">     招标人法定代表人或其授权代理人：</w:t>
            </w:r>
            <w:r>
              <w:rPr>
                <w:sz w:val="22"/>
                <w:szCs w:val="22"/>
                <w:u w:val="single"/>
              </w:rPr>
              <w:t xml:space="preserve">            </w:t>
            </w:r>
            <w:r>
              <w:rPr>
                <w:sz w:val="22"/>
                <w:szCs w:val="22"/>
              </w:rPr>
              <w:t>（签字或签章）</w:t>
            </w:r>
          </w:p>
          <w:p>
            <w:pPr>
              <w:spacing w:line="400" w:lineRule="exact"/>
              <w:rPr>
                <w:sz w:val="22"/>
                <w:szCs w:val="22"/>
                <w:u w:val="single"/>
              </w:rPr>
            </w:pPr>
            <w:r>
              <w:rPr>
                <w:sz w:val="22"/>
                <w:szCs w:val="22"/>
              </w:rPr>
              <w:t xml:space="preserve">                       年   月   日    时    分（北京时间）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4" w:hRule="atLeast"/>
        </w:trPr>
        <w:tc>
          <w:tcPr>
            <w:tcW w:w="817" w:type="dxa"/>
            <w:noWrap w:val="0"/>
            <w:vAlign w:val="top"/>
          </w:tcPr>
          <w:p>
            <w:pPr>
              <w:jc w:val="center"/>
              <w:rPr>
                <w:sz w:val="22"/>
                <w:szCs w:val="22"/>
              </w:rPr>
            </w:pPr>
          </w:p>
          <w:p>
            <w:pPr>
              <w:jc w:val="center"/>
              <w:rPr>
                <w:sz w:val="22"/>
                <w:szCs w:val="22"/>
              </w:rPr>
            </w:pPr>
            <w:r>
              <w:rPr>
                <w:sz w:val="22"/>
                <w:szCs w:val="22"/>
              </w:rPr>
              <w:t>澄</w:t>
            </w:r>
          </w:p>
          <w:p>
            <w:pPr>
              <w:jc w:val="center"/>
              <w:rPr>
                <w:sz w:val="22"/>
                <w:szCs w:val="22"/>
              </w:rPr>
            </w:pPr>
            <w:r>
              <w:rPr>
                <w:sz w:val="22"/>
                <w:szCs w:val="22"/>
              </w:rPr>
              <w:t>清</w:t>
            </w:r>
          </w:p>
          <w:p>
            <w:pPr>
              <w:jc w:val="center"/>
              <w:rPr>
                <w:sz w:val="22"/>
                <w:szCs w:val="22"/>
              </w:rPr>
            </w:pPr>
            <w:r>
              <w:rPr>
                <w:sz w:val="22"/>
                <w:szCs w:val="22"/>
              </w:rPr>
              <w:t>内</w:t>
            </w:r>
          </w:p>
          <w:p>
            <w:pPr>
              <w:jc w:val="center"/>
              <w:rPr>
                <w:sz w:val="22"/>
                <w:szCs w:val="22"/>
              </w:rPr>
            </w:pPr>
            <w:r>
              <w:rPr>
                <w:sz w:val="22"/>
                <w:szCs w:val="22"/>
              </w:rPr>
              <w:t>容</w:t>
            </w:r>
          </w:p>
        </w:tc>
        <w:tc>
          <w:tcPr>
            <w:tcW w:w="8363" w:type="dxa"/>
            <w:gridSpan w:val="2"/>
            <w:noWrap w:val="0"/>
            <w:vAlign w:val="top"/>
          </w:tcPr>
          <w:p>
            <w:pPr>
              <w:spacing w:line="400" w:lineRule="exact"/>
              <w:rPr>
                <w:sz w:val="22"/>
                <w:szCs w:val="22"/>
              </w:rPr>
            </w:pPr>
          </w:p>
          <w:p>
            <w:pPr>
              <w:spacing w:line="400" w:lineRule="exact"/>
              <w:rPr>
                <w:sz w:val="22"/>
                <w:szCs w:val="22"/>
              </w:rPr>
            </w:pPr>
          </w:p>
          <w:p>
            <w:pPr>
              <w:spacing w:line="400" w:lineRule="exact"/>
              <w:ind w:left="2415" w:hanging="2530" w:hangingChars="1150"/>
              <w:rPr>
                <w:sz w:val="22"/>
                <w:szCs w:val="22"/>
              </w:rPr>
            </w:pPr>
            <w:r>
              <w:rPr>
                <w:sz w:val="22"/>
                <w:szCs w:val="22"/>
              </w:rPr>
              <w:t xml:space="preserve">         </w:t>
            </w:r>
          </w:p>
          <w:p>
            <w:pPr>
              <w:spacing w:line="400" w:lineRule="exact"/>
              <w:rPr>
                <w:sz w:val="22"/>
                <w:szCs w:val="22"/>
              </w:rPr>
            </w:pPr>
            <w:r>
              <w:rPr>
                <w:sz w:val="22"/>
                <w:szCs w:val="22"/>
              </w:rPr>
              <w:t xml:space="preserve">       投标人法定代表人或其授权代理人：</w:t>
            </w:r>
            <w:r>
              <w:rPr>
                <w:bCs/>
                <w:sz w:val="22"/>
                <w:szCs w:val="22"/>
                <w:u w:val="single"/>
              </w:rPr>
              <w:t xml:space="preserve">                  </w:t>
            </w:r>
            <w:r>
              <w:rPr>
                <w:sz w:val="22"/>
                <w:szCs w:val="22"/>
              </w:rPr>
              <w:t xml:space="preserve"> （签字或签章）</w:t>
            </w:r>
          </w:p>
          <w:p>
            <w:pPr>
              <w:spacing w:line="400" w:lineRule="exact"/>
              <w:rPr>
                <w:sz w:val="22"/>
                <w:szCs w:val="22"/>
              </w:rPr>
            </w:pPr>
            <w:r>
              <w:rPr>
                <w:sz w:val="22"/>
                <w:szCs w:val="22"/>
              </w:rPr>
              <w:t xml:space="preserve">                         年   月   日    时    分（北京时间）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5" w:hRule="atLeast"/>
        </w:trPr>
        <w:tc>
          <w:tcPr>
            <w:tcW w:w="817" w:type="dxa"/>
            <w:noWrap w:val="0"/>
            <w:vAlign w:val="center"/>
          </w:tcPr>
          <w:p>
            <w:pPr>
              <w:spacing w:line="400" w:lineRule="exact"/>
              <w:jc w:val="center"/>
              <w:rPr>
                <w:sz w:val="22"/>
                <w:szCs w:val="22"/>
              </w:rPr>
            </w:pPr>
            <w:r>
              <w:rPr>
                <w:sz w:val="22"/>
                <w:szCs w:val="22"/>
              </w:rPr>
              <w:t>递交方式和时间</w:t>
            </w:r>
          </w:p>
        </w:tc>
        <w:tc>
          <w:tcPr>
            <w:tcW w:w="8363" w:type="dxa"/>
            <w:gridSpan w:val="2"/>
            <w:noWrap w:val="0"/>
            <w:vAlign w:val="top"/>
          </w:tcPr>
          <w:p>
            <w:pPr>
              <w:spacing w:line="400" w:lineRule="exact"/>
              <w:rPr>
                <w:rFonts w:hint="default" w:eastAsiaTheme="minorEastAsia"/>
                <w:sz w:val="22"/>
                <w:szCs w:val="22"/>
                <w:lang w:val="en-US" w:eastAsia="zh-CN"/>
              </w:rPr>
            </w:pPr>
            <w:r>
              <w:rPr>
                <w:sz w:val="22"/>
                <w:szCs w:val="22"/>
              </w:rPr>
              <w:t>请将上述问题的澄清、说明或者补正于   年   月   日    时    分（北京时间）前密封递交至</w:t>
            </w:r>
            <w:r>
              <w:rPr>
                <w:sz w:val="22"/>
                <w:szCs w:val="22"/>
                <w:u w:val="single"/>
              </w:rPr>
              <w:t xml:space="preserve">                                  </w:t>
            </w:r>
            <w:r>
              <w:rPr>
                <w:sz w:val="22"/>
                <w:szCs w:val="22"/>
              </w:rPr>
              <w:t>（详细地址）或传真至</w:t>
            </w:r>
            <w:r>
              <w:rPr>
                <w:sz w:val="22"/>
                <w:szCs w:val="22"/>
                <w:u w:val="single"/>
              </w:rPr>
              <w:t xml:space="preserve">                 </w:t>
            </w:r>
            <w:r>
              <w:rPr>
                <w:sz w:val="22"/>
                <w:szCs w:val="22"/>
              </w:rPr>
              <w:t>（传真号码）。采用传真方式的应在   年   月   日    时    分（北京时间）前将原件递交至</w:t>
            </w:r>
            <w:r>
              <w:rPr>
                <w:sz w:val="22"/>
                <w:szCs w:val="22"/>
                <w:u w:val="single"/>
              </w:rPr>
              <w:t xml:space="preserve">                                    </w:t>
            </w:r>
            <w:r>
              <w:rPr>
                <w:sz w:val="22"/>
                <w:szCs w:val="22"/>
              </w:rPr>
              <w:t>（详细地址）。</w:t>
            </w:r>
            <w:r>
              <w:rPr>
                <w:rFonts w:hint="eastAsia"/>
                <w:sz w:val="22"/>
                <w:szCs w:val="22"/>
                <w:lang w:val="en-US" w:eastAsia="zh-CN"/>
              </w:rPr>
              <w:t>采取电子招投标的，应</w:t>
            </w:r>
            <w:r>
              <w:rPr>
                <w:sz w:val="22"/>
                <w:szCs w:val="22"/>
              </w:rPr>
              <w:t>于   年   月   日    时    分（北京时间）前</w:t>
            </w:r>
            <w:r>
              <w:rPr>
                <w:rFonts w:hint="eastAsia"/>
                <w:sz w:val="22"/>
                <w:szCs w:val="22"/>
                <w:lang w:val="en-US" w:eastAsia="zh-CN"/>
              </w:rPr>
              <w:t>通过电子辅助评标系统上传上述问题的澄清、说明或补正。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3" w:hRule="atLeast"/>
        </w:trPr>
        <w:tc>
          <w:tcPr>
            <w:tcW w:w="817" w:type="dxa"/>
            <w:noWrap w:val="0"/>
            <w:vAlign w:val="center"/>
          </w:tcPr>
          <w:p>
            <w:pPr>
              <w:jc w:val="center"/>
              <w:rPr>
                <w:sz w:val="22"/>
                <w:szCs w:val="22"/>
              </w:rPr>
            </w:pPr>
            <w:r>
              <w:rPr>
                <w:sz w:val="22"/>
                <w:szCs w:val="22"/>
              </w:rPr>
              <w:t>结论</w:t>
            </w:r>
          </w:p>
        </w:tc>
        <w:tc>
          <w:tcPr>
            <w:tcW w:w="8363" w:type="dxa"/>
            <w:gridSpan w:val="2"/>
            <w:noWrap w:val="0"/>
            <w:vAlign w:val="top"/>
          </w:tcPr>
          <w:p>
            <w:pPr>
              <w:spacing w:line="400" w:lineRule="exact"/>
              <w:ind w:firstLine="2752" w:firstLineChars="1246"/>
              <w:rPr>
                <w:b/>
                <w:sz w:val="22"/>
                <w:szCs w:val="22"/>
              </w:rPr>
            </w:pPr>
          </w:p>
          <w:p>
            <w:pPr>
              <w:spacing w:line="400" w:lineRule="exact"/>
              <w:rPr>
                <w:sz w:val="22"/>
                <w:szCs w:val="22"/>
              </w:rPr>
            </w:pPr>
            <w:r>
              <w:rPr>
                <w:sz w:val="22"/>
                <w:szCs w:val="22"/>
              </w:rPr>
              <w:t xml:space="preserve">                     评标委员会：</w:t>
            </w:r>
            <w:r>
              <w:rPr>
                <w:sz w:val="22"/>
                <w:szCs w:val="22"/>
                <w:u w:val="single"/>
              </w:rPr>
              <w:t xml:space="preserve">                        </w:t>
            </w:r>
            <w:r>
              <w:rPr>
                <w:sz w:val="22"/>
                <w:szCs w:val="22"/>
              </w:rPr>
              <w:t xml:space="preserve">  （签字或签章）</w:t>
            </w:r>
          </w:p>
          <w:p>
            <w:pPr>
              <w:spacing w:line="400" w:lineRule="exact"/>
              <w:rPr>
                <w:sz w:val="22"/>
                <w:szCs w:val="22"/>
              </w:rPr>
            </w:pPr>
            <w:r>
              <w:rPr>
                <w:sz w:val="22"/>
                <w:szCs w:val="22"/>
              </w:rPr>
              <w:t xml:space="preserve">                      年   月   日    时    分（北京时间）</w:t>
            </w:r>
          </w:p>
        </w:tc>
      </w:tr>
    </w:tbl>
    <w:p>
      <w:pPr>
        <w:ind w:left="0" w:leftChars="0" w:firstLine="0" w:firstLineChars="0"/>
        <w:rPr>
          <w:rFonts w:hint="eastAsia" w:ascii="宋体" w:hAnsi="宋体" w:eastAsia="宋体" w:cs="宋体"/>
          <w:sz w:val="24"/>
          <w:szCs w:val="24"/>
          <w:lang w:val="en-US" w:eastAsia="zh-CN"/>
        </w:rPr>
      </w:pPr>
    </w:p>
    <w:p>
      <w:pPr>
        <w:jc w:val="center"/>
        <w:rPr>
          <w:rFonts w:hint="eastAsia" w:eastAsia="方正小标宋简体"/>
          <w:sz w:val="44"/>
          <w:szCs w:val="44"/>
        </w:rPr>
      </w:pPr>
    </w:p>
    <w:p>
      <w:pPr>
        <w:jc w:val="center"/>
        <w:rPr>
          <w:rFonts w:hint="eastAsia" w:eastAsia="方正小标宋简体"/>
          <w:sz w:val="44"/>
          <w:szCs w:val="44"/>
        </w:rPr>
      </w:pPr>
    </w:p>
    <w:p>
      <w:pPr>
        <w:jc w:val="center"/>
        <w:rPr>
          <w:rFonts w:hint="eastAsia" w:eastAsia="方正小标宋简体"/>
          <w:sz w:val="44"/>
          <w:szCs w:val="44"/>
        </w:rPr>
      </w:pPr>
    </w:p>
    <w:p>
      <w:pPr>
        <w:jc w:val="center"/>
        <w:rPr>
          <w:rFonts w:hint="eastAsia" w:eastAsia="方正小标宋简体"/>
          <w:sz w:val="44"/>
          <w:szCs w:val="44"/>
        </w:rPr>
      </w:pPr>
    </w:p>
    <w:p>
      <w:pPr>
        <w:spacing w:line="400" w:lineRule="exact"/>
        <w:outlineLvl w:val="0"/>
        <w:rPr>
          <w:rFonts w:hint="eastAsia" w:ascii="仿宋" w:hAnsi="仿宋" w:eastAsia="仿宋" w:cs="仿宋"/>
          <w:b/>
          <w:bCs/>
          <w:sz w:val="32"/>
          <w:szCs w:val="32"/>
        </w:rPr>
      </w:pPr>
    </w:p>
    <w:p>
      <w:pPr>
        <w:spacing w:line="400" w:lineRule="exact"/>
        <w:outlineLvl w:val="0"/>
        <w:rPr>
          <w:rFonts w:hint="eastAsia" w:ascii="仿宋" w:hAnsi="仿宋" w:eastAsia="仿宋" w:cs="仿宋"/>
          <w:b/>
          <w:bCs/>
          <w:sz w:val="32"/>
          <w:szCs w:val="32"/>
        </w:rPr>
      </w:pPr>
      <w:r>
        <w:rPr>
          <w:rFonts w:hint="eastAsia" w:ascii="仿宋" w:hAnsi="仿宋" w:eastAsia="仿宋" w:cs="仿宋"/>
          <w:b/>
          <w:bCs/>
          <w:sz w:val="32"/>
          <w:szCs w:val="32"/>
        </w:rPr>
        <w:t>附</w:t>
      </w:r>
      <w:r>
        <w:rPr>
          <w:rFonts w:hint="eastAsia" w:ascii="仿宋" w:hAnsi="仿宋" w:eastAsia="仿宋" w:cs="仿宋"/>
          <w:b/>
          <w:bCs/>
          <w:sz w:val="32"/>
          <w:szCs w:val="32"/>
          <w:lang w:val="en-US" w:eastAsia="zh-CN"/>
        </w:rPr>
        <w:t>表2：</w:t>
      </w:r>
    </w:p>
    <w:p>
      <w:pPr>
        <w:jc w:val="center"/>
        <w:rPr>
          <w:rFonts w:eastAsia="方正小标宋简体"/>
          <w:sz w:val="44"/>
          <w:szCs w:val="44"/>
        </w:rPr>
      </w:pPr>
      <w:r>
        <w:rPr>
          <w:rFonts w:hint="eastAsia" w:eastAsia="方正小标宋简体"/>
          <w:sz w:val="44"/>
          <w:szCs w:val="44"/>
        </w:rPr>
        <w:t>投标总报价成本评审记录表</w:t>
      </w:r>
    </w:p>
    <w:p>
      <w:pPr>
        <w:pStyle w:val="5"/>
        <w:spacing w:line="700" w:lineRule="exact"/>
        <w:ind w:firstLine="0" w:firstLineChars="0"/>
        <w:rPr>
          <w:sz w:val="24"/>
        </w:rPr>
      </w:pPr>
      <w:r>
        <w:rPr>
          <w:sz w:val="24"/>
        </w:rPr>
        <w:t>项目名称：</w:t>
      </w:r>
      <w:r>
        <w:rPr>
          <w:sz w:val="24"/>
          <w:lang w:val="en-US" w:eastAsia="zh-CN"/>
        </w:rPr>
        <w:t xml:space="preserve">                                               </w:t>
      </w:r>
      <w:r>
        <w:rPr>
          <w:sz w:val="24"/>
          <w:szCs w:val="24"/>
        </w:rPr>
        <w:t>第  页</w:t>
      </w:r>
      <w:r>
        <w:rPr>
          <w:sz w:val="24"/>
          <w:szCs w:val="24"/>
          <w:lang w:eastAsia="zh-CN"/>
        </w:rPr>
        <w:t xml:space="preserve"> </w:t>
      </w:r>
      <w:r>
        <w:rPr>
          <w:sz w:val="24"/>
          <w:szCs w:val="24"/>
        </w:rPr>
        <w:t>共  页</w:t>
      </w:r>
    </w:p>
    <w:tbl>
      <w:tblPr>
        <w:tblStyle w:val="8"/>
        <w:tblW w:w="9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649"/>
        <w:gridCol w:w="846"/>
        <w:gridCol w:w="846"/>
        <w:gridCol w:w="1177"/>
        <w:gridCol w:w="1021"/>
        <w:gridCol w:w="960"/>
        <w:gridCol w:w="1240"/>
        <w:gridCol w:w="1240"/>
        <w:gridCol w:w="7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1" w:hRule="atLeast"/>
        </w:trPr>
        <w:tc>
          <w:tcPr>
            <w:tcW w:w="426" w:type="dxa"/>
            <w:vMerge w:val="restart"/>
            <w:noWrap w:val="0"/>
            <w:vAlign w:val="center"/>
          </w:tcPr>
          <w:p>
            <w:pPr>
              <w:jc w:val="center"/>
              <w:rPr>
                <w:szCs w:val="21"/>
              </w:rPr>
            </w:pPr>
            <w:r>
              <w:rPr>
                <w:szCs w:val="21"/>
              </w:rPr>
              <w:t>序号</w:t>
            </w:r>
          </w:p>
        </w:tc>
        <w:tc>
          <w:tcPr>
            <w:tcW w:w="649" w:type="dxa"/>
            <w:vMerge w:val="restart"/>
            <w:noWrap w:val="0"/>
            <w:vAlign w:val="center"/>
          </w:tcPr>
          <w:p>
            <w:pPr>
              <w:jc w:val="center"/>
              <w:rPr>
                <w:szCs w:val="21"/>
              </w:rPr>
            </w:pPr>
            <w:r>
              <w:rPr>
                <w:szCs w:val="21"/>
              </w:rPr>
              <w:t>投标人名称</w:t>
            </w:r>
          </w:p>
        </w:tc>
        <w:tc>
          <w:tcPr>
            <w:tcW w:w="846" w:type="dxa"/>
            <w:noWrap w:val="0"/>
            <w:vAlign w:val="center"/>
          </w:tcPr>
          <w:p>
            <w:pPr>
              <w:jc w:val="center"/>
              <w:rPr>
                <w:szCs w:val="21"/>
              </w:rPr>
            </w:pPr>
            <w:r>
              <w:rPr>
                <w:szCs w:val="21"/>
              </w:rPr>
              <w:t>评审价（元）</w:t>
            </w:r>
          </w:p>
        </w:tc>
        <w:tc>
          <w:tcPr>
            <w:tcW w:w="846" w:type="dxa"/>
            <w:noWrap w:val="0"/>
            <w:vAlign w:val="center"/>
          </w:tcPr>
          <w:p>
            <w:pPr>
              <w:jc w:val="center"/>
              <w:rPr>
                <w:szCs w:val="21"/>
              </w:rPr>
            </w:pPr>
            <w:r>
              <w:rPr>
                <w:szCs w:val="21"/>
              </w:rPr>
              <w:t>招标控制价（元）</w:t>
            </w:r>
          </w:p>
        </w:tc>
        <w:tc>
          <w:tcPr>
            <w:tcW w:w="1177" w:type="dxa"/>
            <w:noWrap w:val="0"/>
            <w:vAlign w:val="center"/>
          </w:tcPr>
          <w:p>
            <w:pPr>
              <w:jc w:val="center"/>
              <w:rPr>
                <w:szCs w:val="21"/>
              </w:rPr>
            </w:pPr>
            <w:r>
              <w:rPr>
                <w:szCs w:val="21"/>
              </w:rPr>
              <w:t>评审价与招标控制价相应价格的比例（%）</w:t>
            </w:r>
          </w:p>
        </w:tc>
        <w:tc>
          <w:tcPr>
            <w:tcW w:w="1021" w:type="dxa"/>
            <w:noWrap w:val="0"/>
            <w:vAlign w:val="center"/>
          </w:tcPr>
          <w:p>
            <w:pPr>
              <w:jc w:val="center"/>
              <w:rPr>
                <w:szCs w:val="21"/>
              </w:rPr>
            </w:pPr>
            <w:r>
              <w:rPr>
                <w:szCs w:val="21"/>
              </w:rPr>
              <w:t>所有投标人评审价算术平均值</w:t>
            </w:r>
          </w:p>
          <w:p>
            <w:pPr>
              <w:jc w:val="center"/>
              <w:rPr>
                <w:szCs w:val="21"/>
              </w:rPr>
            </w:pPr>
            <w:r>
              <w:rPr>
                <w:szCs w:val="21"/>
              </w:rPr>
              <w:t>（元）</w:t>
            </w:r>
          </w:p>
        </w:tc>
        <w:tc>
          <w:tcPr>
            <w:tcW w:w="960" w:type="dxa"/>
            <w:noWrap w:val="0"/>
            <w:vAlign w:val="center"/>
          </w:tcPr>
          <w:p>
            <w:pPr>
              <w:jc w:val="center"/>
              <w:rPr>
                <w:szCs w:val="21"/>
              </w:rPr>
            </w:pPr>
            <w:r>
              <w:rPr>
                <w:szCs w:val="21"/>
              </w:rPr>
              <w:t>评审价与所有投标人评审价算术平均值的比例（%）</w:t>
            </w:r>
          </w:p>
        </w:tc>
        <w:tc>
          <w:tcPr>
            <w:tcW w:w="1240" w:type="dxa"/>
            <w:noWrap w:val="0"/>
            <w:vAlign w:val="center"/>
          </w:tcPr>
          <w:p>
            <w:pPr>
              <w:jc w:val="center"/>
              <w:rPr>
                <w:szCs w:val="21"/>
              </w:rPr>
            </w:pPr>
            <w:r>
              <w:rPr>
                <w:szCs w:val="21"/>
              </w:rPr>
              <w:t>评审价是否低于招标控制价的85%</w:t>
            </w:r>
          </w:p>
          <w:p>
            <w:pPr>
              <w:jc w:val="center"/>
              <w:rPr>
                <w:szCs w:val="21"/>
              </w:rPr>
            </w:pPr>
          </w:p>
        </w:tc>
        <w:tc>
          <w:tcPr>
            <w:tcW w:w="1240" w:type="dxa"/>
            <w:noWrap w:val="0"/>
            <w:vAlign w:val="center"/>
          </w:tcPr>
          <w:p>
            <w:pPr>
              <w:jc w:val="center"/>
              <w:rPr>
                <w:szCs w:val="21"/>
              </w:rPr>
            </w:pPr>
            <w:r>
              <w:rPr>
                <w:szCs w:val="21"/>
              </w:rPr>
              <w:t xml:space="preserve">评审价是否低于所有投标人评审价算术平均值的95% </w:t>
            </w:r>
          </w:p>
        </w:tc>
        <w:tc>
          <w:tcPr>
            <w:tcW w:w="769" w:type="dxa"/>
            <w:vMerge w:val="restart"/>
            <w:noWrap w:val="0"/>
            <w:vAlign w:val="center"/>
          </w:tcPr>
          <w:p>
            <w:pPr>
              <w:jc w:val="center"/>
              <w:rPr>
                <w:b/>
                <w:szCs w:val="21"/>
              </w:rPr>
            </w:pPr>
            <w:r>
              <w:rPr>
                <w:rFonts w:hint="eastAsia"/>
                <w:szCs w:val="21"/>
              </w:rPr>
              <w:t>投标总报价</w:t>
            </w:r>
            <w:r>
              <w:rPr>
                <w:szCs w:val="21"/>
              </w:rPr>
              <w:t>是否低于成本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noWrap w:val="0"/>
            <w:vAlign w:val="center"/>
          </w:tcPr>
          <w:p>
            <w:pPr>
              <w:jc w:val="center"/>
              <w:rPr>
                <w:szCs w:val="21"/>
              </w:rPr>
            </w:pPr>
          </w:p>
        </w:tc>
        <w:tc>
          <w:tcPr>
            <w:tcW w:w="649" w:type="dxa"/>
            <w:vMerge w:val="continue"/>
            <w:noWrap w:val="0"/>
            <w:vAlign w:val="center"/>
          </w:tcPr>
          <w:p>
            <w:pPr>
              <w:jc w:val="center"/>
              <w:rPr>
                <w:szCs w:val="21"/>
              </w:rPr>
            </w:pPr>
          </w:p>
        </w:tc>
        <w:tc>
          <w:tcPr>
            <w:tcW w:w="846" w:type="dxa"/>
            <w:noWrap w:val="0"/>
            <w:vAlign w:val="center"/>
          </w:tcPr>
          <w:p>
            <w:pPr>
              <w:jc w:val="center"/>
              <w:rPr>
                <w:rFonts w:hint="eastAsia" w:eastAsiaTheme="minorEastAsia"/>
                <w:szCs w:val="21"/>
                <w:lang w:eastAsia="zh-CN"/>
              </w:rPr>
            </w:pPr>
            <w:r>
              <w:rPr>
                <w:rFonts w:hint="eastAsia"/>
                <w:szCs w:val="21"/>
                <w:lang w:val="en-US" w:eastAsia="zh-CN"/>
              </w:rPr>
              <w:t>A</w:t>
            </w:r>
          </w:p>
        </w:tc>
        <w:tc>
          <w:tcPr>
            <w:tcW w:w="846" w:type="dxa"/>
            <w:noWrap w:val="0"/>
            <w:vAlign w:val="center"/>
          </w:tcPr>
          <w:p>
            <w:pPr>
              <w:jc w:val="center"/>
              <w:rPr>
                <w:rFonts w:hint="eastAsia" w:eastAsiaTheme="minorEastAsia"/>
                <w:szCs w:val="21"/>
                <w:lang w:eastAsia="zh-CN"/>
              </w:rPr>
            </w:pPr>
            <w:r>
              <w:rPr>
                <w:rFonts w:hint="eastAsia"/>
                <w:szCs w:val="21"/>
                <w:lang w:val="en-US" w:eastAsia="zh-CN"/>
              </w:rPr>
              <w:t>B</w:t>
            </w:r>
          </w:p>
        </w:tc>
        <w:tc>
          <w:tcPr>
            <w:tcW w:w="1177" w:type="dxa"/>
            <w:noWrap w:val="0"/>
            <w:vAlign w:val="center"/>
          </w:tcPr>
          <w:p>
            <w:pPr>
              <w:jc w:val="center"/>
              <w:rPr>
                <w:szCs w:val="21"/>
              </w:rPr>
            </w:pPr>
            <w:r>
              <w:rPr>
                <w:rFonts w:hint="eastAsia"/>
                <w:szCs w:val="21"/>
                <w:lang w:val="en-US" w:eastAsia="zh-CN"/>
              </w:rPr>
              <w:t>C</w:t>
            </w:r>
            <w:r>
              <w:rPr>
                <w:szCs w:val="21"/>
              </w:rPr>
              <w:t>=</w:t>
            </w:r>
            <w:r>
              <w:rPr>
                <w:rFonts w:hint="eastAsia"/>
                <w:szCs w:val="21"/>
                <w:lang w:val="en-US" w:eastAsia="zh-CN"/>
              </w:rPr>
              <w:t>A</w:t>
            </w:r>
            <w:r>
              <w:rPr>
                <w:szCs w:val="21"/>
              </w:rPr>
              <w:t>/</w:t>
            </w:r>
            <w:r>
              <w:rPr>
                <w:rFonts w:hint="eastAsia"/>
                <w:szCs w:val="21"/>
                <w:lang w:val="en-US" w:eastAsia="zh-CN"/>
              </w:rPr>
              <w:t>B</w:t>
            </w:r>
            <w:r>
              <w:rPr>
                <w:sz w:val="24"/>
              </w:rPr>
              <w:t>×</w:t>
            </w:r>
            <w:r>
              <w:rPr>
                <w:szCs w:val="21"/>
              </w:rPr>
              <w:t>100</w:t>
            </w:r>
          </w:p>
        </w:tc>
        <w:tc>
          <w:tcPr>
            <w:tcW w:w="1021" w:type="dxa"/>
            <w:noWrap w:val="0"/>
            <w:vAlign w:val="center"/>
          </w:tcPr>
          <w:p>
            <w:pPr>
              <w:spacing w:line="480" w:lineRule="auto"/>
              <w:jc w:val="center"/>
              <w:rPr>
                <w:rFonts w:hint="eastAsia" w:eastAsiaTheme="minorEastAsia"/>
                <w:szCs w:val="21"/>
                <w:lang w:eastAsia="zh-CN"/>
              </w:rPr>
            </w:pPr>
            <w:r>
              <w:rPr>
                <w:rFonts w:hint="eastAsia"/>
                <w:szCs w:val="21"/>
                <w:lang w:val="en-US" w:eastAsia="zh-CN"/>
              </w:rPr>
              <w:t>D</w:t>
            </w:r>
          </w:p>
        </w:tc>
        <w:tc>
          <w:tcPr>
            <w:tcW w:w="960" w:type="dxa"/>
            <w:noWrap w:val="0"/>
            <w:vAlign w:val="center"/>
          </w:tcPr>
          <w:p>
            <w:pPr>
              <w:jc w:val="center"/>
              <w:rPr>
                <w:szCs w:val="21"/>
              </w:rPr>
            </w:pPr>
            <w:r>
              <w:rPr>
                <w:rFonts w:hint="eastAsia"/>
                <w:szCs w:val="21"/>
                <w:lang w:val="en-US" w:eastAsia="zh-CN"/>
              </w:rPr>
              <w:t>E</w:t>
            </w:r>
            <w:r>
              <w:rPr>
                <w:szCs w:val="21"/>
              </w:rPr>
              <w:t>=</w:t>
            </w:r>
            <w:r>
              <w:rPr>
                <w:rFonts w:hint="eastAsia"/>
                <w:szCs w:val="21"/>
                <w:lang w:val="en-US" w:eastAsia="zh-CN"/>
              </w:rPr>
              <w:t>A</w:t>
            </w:r>
            <w:r>
              <w:rPr>
                <w:szCs w:val="21"/>
              </w:rPr>
              <w:t>/</w:t>
            </w:r>
            <w:r>
              <w:rPr>
                <w:rFonts w:hint="eastAsia"/>
                <w:szCs w:val="21"/>
                <w:lang w:val="en-US" w:eastAsia="zh-CN"/>
              </w:rPr>
              <w:t>D</w:t>
            </w:r>
            <w:r>
              <w:rPr>
                <w:sz w:val="24"/>
              </w:rPr>
              <w:t>×</w:t>
            </w:r>
            <w:r>
              <w:rPr>
                <w:szCs w:val="21"/>
              </w:rPr>
              <w:t>100</w:t>
            </w:r>
          </w:p>
        </w:tc>
        <w:tc>
          <w:tcPr>
            <w:tcW w:w="1240" w:type="dxa"/>
            <w:noWrap w:val="0"/>
            <w:vAlign w:val="center"/>
          </w:tcPr>
          <w:p>
            <w:pPr>
              <w:jc w:val="center"/>
              <w:rPr>
                <w:szCs w:val="21"/>
              </w:rPr>
            </w:pPr>
          </w:p>
        </w:tc>
        <w:tc>
          <w:tcPr>
            <w:tcW w:w="1240" w:type="dxa"/>
            <w:noWrap w:val="0"/>
            <w:vAlign w:val="center"/>
          </w:tcPr>
          <w:p>
            <w:pPr>
              <w:jc w:val="center"/>
              <w:rPr>
                <w:szCs w:val="21"/>
              </w:rPr>
            </w:pPr>
          </w:p>
        </w:tc>
        <w:tc>
          <w:tcPr>
            <w:tcW w:w="769" w:type="dxa"/>
            <w:vMerge w:val="continue"/>
            <w:noWrap w:val="0"/>
            <w:vAlign w:val="top"/>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noWrap w:val="0"/>
            <w:vAlign w:val="center"/>
          </w:tcPr>
          <w:p>
            <w:pPr>
              <w:spacing w:line="540" w:lineRule="exact"/>
              <w:jc w:val="center"/>
              <w:rPr>
                <w:szCs w:val="21"/>
              </w:rPr>
            </w:pPr>
          </w:p>
        </w:tc>
        <w:tc>
          <w:tcPr>
            <w:tcW w:w="649" w:type="dxa"/>
            <w:noWrap w:val="0"/>
            <w:vAlign w:val="center"/>
          </w:tcPr>
          <w:p>
            <w:pPr>
              <w:jc w:val="center"/>
              <w:rPr>
                <w:szCs w:val="21"/>
              </w:rPr>
            </w:pPr>
            <w:r>
              <w:rPr>
                <w:szCs w:val="21"/>
              </w:rPr>
              <w:t>投标人1</w:t>
            </w:r>
          </w:p>
        </w:tc>
        <w:tc>
          <w:tcPr>
            <w:tcW w:w="846" w:type="dxa"/>
            <w:noWrap w:val="0"/>
            <w:vAlign w:val="center"/>
          </w:tcPr>
          <w:p>
            <w:pPr>
              <w:spacing w:line="540" w:lineRule="exact"/>
              <w:jc w:val="center"/>
              <w:rPr>
                <w:szCs w:val="21"/>
              </w:rPr>
            </w:pPr>
          </w:p>
        </w:tc>
        <w:tc>
          <w:tcPr>
            <w:tcW w:w="846" w:type="dxa"/>
            <w:noWrap w:val="0"/>
            <w:vAlign w:val="center"/>
          </w:tcPr>
          <w:p>
            <w:pPr>
              <w:spacing w:line="540" w:lineRule="exact"/>
              <w:jc w:val="center"/>
              <w:rPr>
                <w:szCs w:val="21"/>
              </w:rPr>
            </w:pPr>
          </w:p>
        </w:tc>
        <w:tc>
          <w:tcPr>
            <w:tcW w:w="1177" w:type="dxa"/>
            <w:noWrap w:val="0"/>
            <w:vAlign w:val="center"/>
          </w:tcPr>
          <w:p>
            <w:pPr>
              <w:spacing w:line="540" w:lineRule="exact"/>
              <w:jc w:val="center"/>
              <w:rPr>
                <w:szCs w:val="21"/>
              </w:rPr>
            </w:pPr>
          </w:p>
        </w:tc>
        <w:tc>
          <w:tcPr>
            <w:tcW w:w="1021" w:type="dxa"/>
            <w:noWrap w:val="0"/>
            <w:vAlign w:val="center"/>
          </w:tcPr>
          <w:p>
            <w:pPr>
              <w:spacing w:line="540" w:lineRule="exact"/>
              <w:jc w:val="center"/>
              <w:rPr>
                <w:szCs w:val="21"/>
              </w:rPr>
            </w:pPr>
          </w:p>
        </w:tc>
        <w:tc>
          <w:tcPr>
            <w:tcW w:w="960" w:type="dxa"/>
            <w:noWrap w:val="0"/>
            <w:vAlign w:val="center"/>
          </w:tcPr>
          <w:p>
            <w:pPr>
              <w:spacing w:line="540" w:lineRule="exact"/>
              <w:jc w:val="center"/>
              <w:rPr>
                <w:szCs w:val="21"/>
              </w:rPr>
            </w:pPr>
          </w:p>
        </w:tc>
        <w:tc>
          <w:tcPr>
            <w:tcW w:w="1240" w:type="dxa"/>
            <w:noWrap w:val="0"/>
            <w:vAlign w:val="center"/>
          </w:tcPr>
          <w:p>
            <w:pPr>
              <w:jc w:val="center"/>
              <w:rPr>
                <w:szCs w:val="21"/>
              </w:rPr>
            </w:pPr>
            <w:r>
              <w:rPr>
                <w:szCs w:val="21"/>
              </w:rPr>
              <w:t>□是 □否</w:t>
            </w:r>
          </w:p>
        </w:tc>
        <w:tc>
          <w:tcPr>
            <w:tcW w:w="1240" w:type="dxa"/>
            <w:noWrap w:val="0"/>
            <w:vAlign w:val="center"/>
          </w:tcPr>
          <w:p>
            <w:pPr>
              <w:jc w:val="center"/>
              <w:rPr>
                <w:szCs w:val="21"/>
              </w:rPr>
            </w:pPr>
            <w:r>
              <w:rPr>
                <w:szCs w:val="21"/>
              </w:rPr>
              <w:t xml:space="preserve">□是 </w:t>
            </w:r>
            <w:r>
              <w:rPr>
                <w:szCs w:val="21"/>
              </w:rPr>
              <w:sym w:font="Wingdings 2" w:char="00A3"/>
            </w:r>
            <w:r>
              <w:rPr>
                <w:szCs w:val="21"/>
              </w:rPr>
              <w:t>否</w:t>
            </w:r>
          </w:p>
        </w:tc>
        <w:tc>
          <w:tcPr>
            <w:tcW w:w="769" w:type="dxa"/>
            <w:noWrap w:val="0"/>
            <w:vAlign w:val="center"/>
          </w:tcPr>
          <w:p>
            <w:pPr>
              <w:jc w:val="center"/>
              <w:rPr>
                <w:szCs w:val="21"/>
              </w:rPr>
            </w:pPr>
            <w:r>
              <w:rPr>
                <w:szCs w:val="21"/>
              </w:rPr>
              <w:t xml:space="preserve">□是 </w:t>
            </w:r>
          </w:p>
          <w:p>
            <w:pPr>
              <w:jc w:val="center"/>
              <w:rPr>
                <w:szCs w:val="21"/>
              </w:rPr>
            </w:pPr>
            <w:r>
              <w:rPr>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noWrap w:val="0"/>
            <w:vAlign w:val="center"/>
          </w:tcPr>
          <w:p>
            <w:pPr>
              <w:spacing w:line="540" w:lineRule="exact"/>
              <w:jc w:val="center"/>
              <w:rPr>
                <w:szCs w:val="21"/>
              </w:rPr>
            </w:pPr>
          </w:p>
        </w:tc>
        <w:tc>
          <w:tcPr>
            <w:tcW w:w="649" w:type="dxa"/>
            <w:noWrap w:val="0"/>
            <w:vAlign w:val="center"/>
          </w:tcPr>
          <w:p>
            <w:pPr>
              <w:jc w:val="center"/>
              <w:rPr>
                <w:szCs w:val="21"/>
              </w:rPr>
            </w:pPr>
            <w:r>
              <w:rPr>
                <w:szCs w:val="21"/>
              </w:rPr>
              <w:t>投标人2</w:t>
            </w:r>
          </w:p>
        </w:tc>
        <w:tc>
          <w:tcPr>
            <w:tcW w:w="846" w:type="dxa"/>
            <w:noWrap w:val="0"/>
            <w:vAlign w:val="center"/>
          </w:tcPr>
          <w:p>
            <w:pPr>
              <w:spacing w:line="540" w:lineRule="exact"/>
              <w:jc w:val="center"/>
              <w:rPr>
                <w:szCs w:val="21"/>
              </w:rPr>
            </w:pPr>
          </w:p>
        </w:tc>
        <w:tc>
          <w:tcPr>
            <w:tcW w:w="846" w:type="dxa"/>
            <w:noWrap w:val="0"/>
            <w:vAlign w:val="center"/>
          </w:tcPr>
          <w:p>
            <w:pPr>
              <w:spacing w:line="540" w:lineRule="exact"/>
              <w:jc w:val="center"/>
              <w:rPr>
                <w:szCs w:val="21"/>
              </w:rPr>
            </w:pPr>
          </w:p>
        </w:tc>
        <w:tc>
          <w:tcPr>
            <w:tcW w:w="1177" w:type="dxa"/>
            <w:noWrap w:val="0"/>
            <w:vAlign w:val="center"/>
          </w:tcPr>
          <w:p>
            <w:pPr>
              <w:spacing w:line="540" w:lineRule="exact"/>
              <w:jc w:val="center"/>
              <w:rPr>
                <w:szCs w:val="21"/>
              </w:rPr>
            </w:pPr>
          </w:p>
        </w:tc>
        <w:tc>
          <w:tcPr>
            <w:tcW w:w="1021" w:type="dxa"/>
            <w:noWrap w:val="0"/>
            <w:vAlign w:val="center"/>
          </w:tcPr>
          <w:p>
            <w:pPr>
              <w:spacing w:line="540" w:lineRule="exact"/>
              <w:jc w:val="center"/>
              <w:rPr>
                <w:szCs w:val="21"/>
              </w:rPr>
            </w:pPr>
          </w:p>
        </w:tc>
        <w:tc>
          <w:tcPr>
            <w:tcW w:w="960" w:type="dxa"/>
            <w:noWrap w:val="0"/>
            <w:vAlign w:val="center"/>
          </w:tcPr>
          <w:p>
            <w:pPr>
              <w:spacing w:line="540" w:lineRule="exact"/>
              <w:jc w:val="center"/>
              <w:rPr>
                <w:szCs w:val="21"/>
              </w:rPr>
            </w:pPr>
          </w:p>
        </w:tc>
        <w:tc>
          <w:tcPr>
            <w:tcW w:w="1240" w:type="dxa"/>
            <w:noWrap w:val="0"/>
            <w:vAlign w:val="center"/>
          </w:tcPr>
          <w:p>
            <w:pPr>
              <w:jc w:val="center"/>
              <w:rPr>
                <w:szCs w:val="21"/>
              </w:rPr>
            </w:pPr>
            <w:r>
              <w:rPr>
                <w:szCs w:val="21"/>
              </w:rPr>
              <w:t>□是 □否</w:t>
            </w:r>
          </w:p>
        </w:tc>
        <w:tc>
          <w:tcPr>
            <w:tcW w:w="1240" w:type="dxa"/>
            <w:noWrap w:val="0"/>
            <w:vAlign w:val="center"/>
          </w:tcPr>
          <w:p>
            <w:pPr>
              <w:jc w:val="center"/>
              <w:rPr>
                <w:szCs w:val="21"/>
              </w:rPr>
            </w:pPr>
            <w:r>
              <w:rPr>
                <w:szCs w:val="21"/>
              </w:rPr>
              <w:t>□是 □否</w:t>
            </w:r>
          </w:p>
        </w:tc>
        <w:tc>
          <w:tcPr>
            <w:tcW w:w="769" w:type="dxa"/>
            <w:noWrap w:val="0"/>
            <w:vAlign w:val="center"/>
          </w:tcPr>
          <w:p>
            <w:pPr>
              <w:jc w:val="center"/>
              <w:rPr>
                <w:szCs w:val="21"/>
              </w:rPr>
            </w:pPr>
            <w:r>
              <w:rPr>
                <w:szCs w:val="21"/>
              </w:rPr>
              <w:t xml:space="preserve">□是 </w:t>
            </w:r>
          </w:p>
          <w:p>
            <w:pPr>
              <w:jc w:val="center"/>
              <w:rPr>
                <w:szCs w:val="21"/>
              </w:rPr>
            </w:pPr>
            <w:r>
              <w:rPr>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noWrap w:val="0"/>
            <w:vAlign w:val="center"/>
          </w:tcPr>
          <w:p>
            <w:pPr>
              <w:spacing w:line="540" w:lineRule="exact"/>
              <w:jc w:val="center"/>
              <w:rPr>
                <w:szCs w:val="21"/>
              </w:rPr>
            </w:pPr>
          </w:p>
        </w:tc>
        <w:tc>
          <w:tcPr>
            <w:tcW w:w="649" w:type="dxa"/>
            <w:noWrap w:val="0"/>
            <w:vAlign w:val="center"/>
          </w:tcPr>
          <w:p>
            <w:pPr>
              <w:jc w:val="center"/>
              <w:rPr>
                <w:szCs w:val="21"/>
              </w:rPr>
            </w:pPr>
            <w:r>
              <w:rPr>
                <w:szCs w:val="21"/>
              </w:rPr>
              <w:t>投标人3</w:t>
            </w:r>
          </w:p>
        </w:tc>
        <w:tc>
          <w:tcPr>
            <w:tcW w:w="846" w:type="dxa"/>
            <w:noWrap w:val="0"/>
            <w:vAlign w:val="center"/>
          </w:tcPr>
          <w:p>
            <w:pPr>
              <w:spacing w:line="540" w:lineRule="exact"/>
              <w:jc w:val="center"/>
              <w:rPr>
                <w:szCs w:val="21"/>
              </w:rPr>
            </w:pPr>
          </w:p>
        </w:tc>
        <w:tc>
          <w:tcPr>
            <w:tcW w:w="846" w:type="dxa"/>
            <w:noWrap w:val="0"/>
            <w:vAlign w:val="center"/>
          </w:tcPr>
          <w:p>
            <w:pPr>
              <w:spacing w:line="540" w:lineRule="exact"/>
              <w:jc w:val="center"/>
              <w:rPr>
                <w:szCs w:val="21"/>
              </w:rPr>
            </w:pPr>
          </w:p>
        </w:tc>
        <w:tc>
          <w:tcPr>
            <w:tcW w:w="1177" w:type="dxa"/>
            <w:noWrap w:val="0"/>
            <w:vAlign w:val="center"/>
          </w:tcPr>
          <w:p>
            <w:pPr>
              <w:spacing w:line="540" w:lineRule="exact"/>
              <w:jc w:val="center"/>
              <w:rPr>
                <w:szCs w:val="21"/>
              </w:rPr>
            </w:pPr>
          </w:p>
        </w:tc>
        <w:tc>
          <w:tcPr>
            <w:tcW w:w="1021" w:type="dxa"/>
            <w:noWrap w:val="0"/>
            <w:vAlign w:val="center"/>
          </w:tcPr>
          <w:p>
            <w:pPr>
              <w:spacing w:line="540" w:lineRule="exact"/>
              <w:jc w:val="center"/>
              <w:rPr>
                <w:szCs w:val="21"/>
              </w:rPr>
            </w:pPr>
          </w:p>
        </w:tc>
        <w:tc>
          <w:tcPr>
            <w:tcW w:w="960" w:type="dxa"/>
            <w:noWrap w:val="0"/>
            <w:vAlign w:val="center"/>
          </w:tcPr>
          <w:p>
            <w:pPr>
              <w:spacing w:line="540" w:lineRule="exact"/>
              <w:jc w:val="center"/>
              <w:rPr>
                <w:szCs w:val="21"/>
              </w:rPr>
            </w:pPr>
          </w:p>
        </w:tc>
        <w:tc>
          <w:tcPr>
            <w:tcW w:w="1240" w:type="dxa"/>
            <w:noWrap w:val="0"/>
            <w:vAlign w:val="center"/>
          </w:tcPr>
          <w:p>
            <w:pPr>
              <w:jc w:val="center"/>
              <w:rPr>
                <w:szCs w:val="21"/>
              </w:rPr>
            </w:pPr>
            <w:r>
              <w:rPr>
                <w:szCs w:val="21"/>
              </w:rPr>
              <w:t>□是 □否</w:t>
            </w:r>
          </w:p>
        </w:tc>
        <w:tc>
          <w:tcPr>
            <w:tcW w:w="1240" w:type="dxa"/>
            <w:noWrap w:val="0"/>
            <w:vAlign w:val="center"/>
          </w:tcPr>
          <w:p>
            <w:pPr>
              <w:jc w:val="center"/>
              <w:rPr>
                <w:szCs w:val="21"/>
              </w:rPr>
            </w:pPr>
            <w:r>
              <w:rPr>
                <w:szCs w:val="21"/>
              </w:rPr>
              <w:t>□是 □否</w:t>
            </w:r>
          </w:p>
        </w:tc>
        <w:tc>
          <w:tcPr>
            <w:tcW w:w="769" w:type="dxa"/>
            <w:noWrap w:val="0"/>
            <w:vAlign w:val="center"/>
          </w:tcPr>
          <w:p>
            <w:pPr>
              <w:jc w:val="center"/>
              <w:rPr>
                <w:szCs w:val="21"/>
              </w:rPr>
            </w:pPr>
            <w:r>
              <w:rPr>
                <w:szCs w:val="21"/>
              </w:rPr>
              <w:t xml:space="preserve">□是 </w:t>
            </w:r>
          </w:p>
          <w:p>
            <w:pPr>
              <w:jc w:val="center"/>
              <w:rPr>
                <w:szCs w:val="21"/>
              </w:rPr>
            </w:pPr>
            <w:r>
              <w:rPr>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noWrap w:val="0"/>
            <w:vAlign w:val="center"/>
          </w:tcPr>
          <w:p>
            <w:pPr>
              <w:spacing w:line="540" w:lineRule="exact"/>
              <w:jc w:val="center"/>
              <w:rPr>
                <w:szCs w:val="21"/>
              </w:rPr>
            </w:pPr>
          </w:p>
        </w:tc>
        <w:tc>
          <w:tcPr>
            <w:tcW w:w="649" w:type="dxa"/>
            <w:noWrap w:val="0"/>
            <w:vAlign w:val="top"/>
          </w:tcPr>
          <w:p>
            <w:pPr>
              <w:jc w:val="center"/>
              <w:rPr>
                <w:szCs w:val="21"/>
              </w:rPr>
            </w:pPr>
            <w:r>
              <w:rPr>
                <w:szCs w:val="21"/>
              </w:rPr>
              <w:t>….</w:t>
            </w:r>
          </w:p>
        </w:tc>
        <w:tc>
          <w:tcPr>
            <w:tcW w:w="846" w:type="dxa"/>
            <w:noWrap w:val="0"/>
            <w:vAlign w:val="center"/>
          </w:tcPr>
          <w:p>
            <w:pPr>
              <w:spacing w:line="540" w:lineRule="exact"/>
              <w:jc w:val="center"/>
              <w:rPr>
                <w:szCs w:val="21"/>
              </w:rPr>
            </w:pPr>
          </w:p>
        </w:tc>
        <w:tc>
          <w:tcPr>
            <w:tcW w:w="846" w:type="dxa"/>
            <w:noWrap w:val="0"/>
            <w:vAlign w:val="center"/>
          </w:tcPr>
          <w:p>
            <w:pPr>
              <w:spacing w:line="540" w:lineRule="exact"/>
              <w:jc w:val="center"/>
              <w:rPr>
                <w:szCs w:val="21"/>
              </w:rPr>
            </w:pPr>
          </w:p>
        </w:tc>
        <w:tc>
          <w:tcPr>
            <w:tcW w:w="1177" w:type="dxa"/>
            <w:noWrap w:val="0"/>
            <w:vAlign w:val="center"/>
          </w:tcPr>
          <w:p>
            <w:pPr>
              <w:spacing w:line="540" w:lineRule="exact"/>
              <w:jc w:val="center"/>
              <w:rPr>
                <w:szCs w:val="21"/>
              </w:rPr>
            </w:pPr>
          </w:p>
        </w:tc>
        <w:tc>
          <w:tcPr>
            <w:tcW w:w="1021" w:type="dxa"/>
            <w:noWrap w:val="0"/>
            <w:vAlign w:val="center"/>
          </w:tcPr>
          <w:p>
            <w:pPr>
              <w:spacing w:line="540" w:lineRule="exact"/>
              <w:jc w:val="center"/>
              <w:rPr>
                <w:szCs w:val="21"/>
              </w:rPr>
            </w:pPr>
          </w:p>
        </w:tc>
        <w:tc>
          <w:tcPr>
            <w:tcW w:w="960" w:type="dxa"/>
            <w:noWrap w:val="0"/>
            <w:vAlign w:val="center"/>
          </w:tcPr>
          <w:p>
            <w:pPr>
              <w:spacing w:line="540" w:lineRule="exact"/>
              <w:jc w:val="center"/>
              <w:rPr>
                <w:szCs w:val="21"/>
              </w:rPr>
            </w:pPr>
          </w:p>
        </w:tc>
        <w:tc>
          <w:tcPr>
            <w:tcW w:w="1240" w:type="dxa"/>
            <w:noWrap w:val="0"/>
            <w:vAlign w:val="top"/>
          </w:tcPr>
          <w:p>
            <w:pPr>
              <w:jc w:val="center"/>
              <w:rPr>
                <w:szCs w:val="21"/>
              </w:rPr>
            </w:pPr>
            <w:r>
              <w:rPr>
                <w:szCs w:val="21"/>
              </w:rPr>
              <w:t>….</w:t>
            </w:r>
          </w:p>
        </w:tc>
        <w:tc>
          <w:tcPr>
            <w:tcW w:w="1240" w:type="dxa"/>
            <w:noWrap w:val="0"/>
            <w:vAlign w:val="top"/>
          </w:tcPr>
          <w:p>
            <w:pPr>
              <w:jc w:val="center"/>
              <w:rPr>
                <w:szCs w:val="21"/>
              </w:rPr>
            </w:pPr>
            <w:r>
              <w:rPr>
                <w:szCs w:val="21"/>
              </w:rPr>
              <w:t>….</w:t>
            </w:r>
          </w:p>
        </w:tc>
        <w:tc>
          <w:tcPr>
            <w:tcW w:w="769" w:type="dxa"/>
            <w:noWrap w:val="0"/>
            <w:vAlign w:val="top"/>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noWrap w:val="0"/>
            <w:vAlign w:val="center"/>
          </w:tcPr>
          <w:p>
            <w:pPr>
              <w:spacing w:line="540" w:lineRule="exact"/>
              <w:jc w:val="center"/>
              <w:rPr>
                <w:szCs w:val="21"/>
              </w:rPr>
            </w:pPr>
          </w:p>
        </w:tc>
        <w:tc>
          <w:tcPr>
            <w:tcW w:w="649" w:type="dxa"/>
            <w:noWrap w:val="0"/>
            <w:vAlign w:val="top"/>
          </w:tcPr>
          <w:p>
            <w:pPr>
              <w:jc w:val="center"/>
              <w:rPr>
                <w:szCs w:val="21"/>
              </w:rPr>
            </w:pPr>
            <w:r>
              <w:rPr>
                <w:szCs w:val="21"/>
              </w:rPr>
              <w:t>….</w:t>
            </w:r>
          </w:p>
        </w:tc>
        <w:tc>
          <w:tcPr>
            <w:tcW w:w="846" w:type="dxa"/>
            <w:noWrap w:val="0"/>
            <w:vAlign w:val="center"/>
          </w:tcPr>
          <w:p>
            <w:pPr>
              <w:spacing w:line="540" w:lineRule="exact"/>
              <w:jc w:val="center"/>
              <w:rPr>
                <w:szCs w:val="21"/>
              </w:rPr>
            </w:pPr>
          </w:p>
        </w:tc>
        <w:tc>
          <w:tcPr>
            <w:tcW w:w="846" w:type="dxa"/>
            <w:noWrap w:val="0"/>
            <w:vAlign w:val="center"/>
          </w:tcPr>
          <w:p>
            <w:pPr>
              <w:spacing w:line="540" w:lineRule="exact"/>
              <w:jc w:val="center"/>
              <w:rPr>
                <w:szCs w:val="21"/>
              </w:rPr>
            </w:pPr>
          </w:p>
        </w:tc>
        <w:tc>
          <w:tcPr>
            <w:tcW w:w="1177" w:type="dxa"/>
            <w:noWrap w:val="0"/>
            <w:vAlign w:val="center"/>
          </w:tcPr>
          <w:p>
            <w:pPr>
              <w:spacing w:line="540" w:lineRule="exact"/>
              <w:jc w:val="center"/>
              <w:rPr>
                <w:szCs w:val="21"/>
              </w:rPr>
            </w:pPr>
          </w:p>
        </w:tc>
        <w:tc>
          <w:tcPr>
            <w:tcW w:w="1021" w:type="dxa"/>
            <w:noWrap w:val="0"/>
            <w:vAlign w:val="center"/>
          </w:tcPr>
          <w:p>
            <w:pPr>
              <w:spacing w:line="540" w:lineRule="exact"/>
              <w:jc w:val="center"/>
              <w:rPr>
                <w:szCs w:val="21"/>
              </w:rPr>
            </w:pPr>
          </w:p>
        </w:tc>
        <w:tc>
          <w:tcPr>
            <w:tcW w:w="960" w:type="dxa"/>
            <w:noWrap w:val="0"/>
            <w:vAlign w:val="center"/>
          </w:tcPr>
          <w:p>
            <w:pPr>
              <w:spacing w:line="540" w:lineRule="exact"/>
              <w:jc w:val="center"/>
              <w:rPr>
                <w:szCs w:val="21"/>
              </w:rPr>
            </w:pPr>
          </w:p>
        </w:tc>
        <w:tc>
          <w:tcPr>
            <w:tcW w:w="1240" w:type="dxa"/>
            <w:noWrap w:val="0"/>
            <w:vAlign w:val="top"/>
          </w:tcPr>
          <w:p>
            <w:pPr>
              <w:jc w:val="center"/>
              <w:rPr>
                <w:szCs w:val="21"/>
              </w:rPr>
            </w:pPr>
            <w:r>
              <w:rPr>
                <w:szCs w:val="21"/>
              </w:rPr>
              <w:t>….</w:t>
            </w:r>
          </w:p>
        </w:tc>
        <w:tc>
          <w:tcPr>
            <w:tcW w:w="1240" w:type="dxa"/>
            <w:noWrap w:val="0"/>
            <w:vAlign w:val="top"/>
          </w:tcPr>
          <w:p>
            <w:pPr>
              <w:jc w:val="center"/>
              <w:rPr>
                <w:szCs w:val="21"/>
              </w:rPr>
            </w:pPr>
            <w:r>
              <w:rPr>
                <w:szCs w:val="21"/>
              </w:rPr>
              <w:t>….</w:t>
            </w:r>
          </w:p>
        </w:tc>
        <w:tc>
          <w:tcPr>
            <w:tcW w:w="769" w:type="dxa"/>
            <w:noWrap w:val="0"/>
            <w:vAlign w:val="top"/>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noWrap w:val="0"/>
            <w:vAlign w:val="center"/>
          </w:tcPr>
          <w:p>
            <w:pPr>
              <w:spacing w:line="540" w:lineRule="exact"/>
              <w:jc w:val="center"/>
              <w:rPr>
                <w:szCs w:val="21"/>
              </w:rPr>
            </w:pPr>
          </w:p>
        </w:tc>
        <w:tc>
          <w:tcPr>
            <w:tcW w:w="649" w:type="dxa"/>
            <w:noWrap w:val="0"/>
            <w:vAlign w:val="top"/>
          </w:tcPr>
          <w:p>
            <w:pPr>
              <w:jc w:val="center"/>
              <w:rPr>
                <w:szCs w:val="21"/>
              </w:rPr>
            </w:pPr>
          </w:p>
        </w:tc>
        <w:tc>
          <w:tcPr>
            <w:tcW w:w="846" w:type="dxa"/>
            <w:noWrap w:val="0"/>
            <w:vAlign w:val="center"/>
          </w:tcPr>
          <w:p>
            <w:pPr>
              <w:spacing w:line="540" w:lineRule="exact"/>
              <w:jc w:val="center"/>
              <w:rPr>
                <w:szCs w:val="21"/>
              </w:rPr>
            </w:pPr>
          </w:p>
        </w:tc>
        <w:tc>
          <w:tcPr>
            <w:tcW w:w="846" w:type="dxa"/>
            <w:noWrap w:val="0"/>
            <w:vAlign w:val="center"/>
          </w:tcPr>
          <w:p>
            <w:pPr>
              <w:spacing w:line="540" w:lineRule="exact"/>
              <w:jc w:val="center"/>
              <w:rPr>
                <w:szCs w:val="21"/>
              </w:rPr>
            </w:pPr>
          </w:p>
        </w:tc>
        <w:tc>
          <w:tcPr>
            <w:tcW w:w="1177" w:type="dxa"/>
            <w:noWrap w:val="0"/>
            <w:vAlign w:val="center"/>
          </w:tcPr>
          <w:p>
            <w:pPr>
              <w:spacing w:line="540" w:lineRule="exact"/>
              <w:jc w:val="center"/>
              <w:rPr>
                <w:szCs w:val="21"/>
              </w:rPr>
            </w:pPr>
          </w:p>
        </w:tc>
        <w:tc>
          <w:tcPr>
            <w:tcW w:w="1021" w:type="dxa"/>
            <w:noWrap w:val="0"/>
            <w:vAlign w:val="center"/>
          </w:tcPr>
          <w:p>
            <w:pPr>
              <w:spacing w:line="540" w:lineRule="exact"/>
              <w:jc w:val="center"/>
              <w:rPr>
                <w:szCs w:val="21"/>
              </w:rPr>
            </w:pPr>
          </w:p>
        </w:tc>
        <w:tc>
          <w:tcPr>
            <w:tcW w:w="960" w:type="dxa"/>
            <w:noWrap w:val="0"/>
            <w:vAlign w:val="center"/>
          </w:tcPr>
          <w:p>
            <w:pPr>
              <w:spacing w:line="540" w:lineRule="exact"/>
              <w:jc w:val="center"/>
              <w:rPr>
                <w:szCs w:val="21"/>
              </w:rPr>
            </w:pPr>
          </w:p>
        </w:tc>
        <w:tc>
          <w:tcPr>
            <w:tcW w:w="1240" w:type="dxa"/>
            <w:noWrap w:val="0"/>
            <w:vAlign w:val="top"/>
          </w:tcPr>
          <w:p>
            <w:pPr>
              <w:jc w:val="center"/>
              <w:rPr>
                <w:szCs w:val="21"/>
              </w:rPr>
            </w:pPr>
          </w:p>
        </w:tc>
        <w:tc>
          <w:tcPr>
            <w:tcW w:w="1240" w:type="dxa"/>
            <w:noWrap w:val="0"/>
            <w:vAlign w:val="top"/>
          </w:tcPr>
          <w:p>
            <w:pPr>
              <w:jc w:val="center"/>
              <w:rPr>
                <w:szCs w:val="21"/>
              </w:rPr>
            </w:pPr>
          </w:p>
        </w:tc>
        <w:tc>
          <w:tcPr>
            <w:tcW w:w="769" w:type="dxa"/>
            <w:noWrap w:val="0"/>
            <w:vAlign w:val="top"/>
          </w:tcPr>
          <w:p>
            <w:pPr>
              <w:jc w:val="center"/>
              <w:rPr>
                <w:szCs w:val="21"/>
              </w:rPr>
            </w:pPr>
          </w:p>
        </w:tc>
      </w:tr>
    </w:tbl>
    <w:p>
      <w:pPr>
        <w:rPr>
          <w:sz w:val="24"/>
          <w:szCs w:val="24"/>
        </w:rPr>
      </w:pPr>
      <w:r>
        <w:rPr>
          <w:sz w:val="24"/>
          <w:szCs w:val="24"/>
        </w:rPr>
        <w:t>注：所有投标人指经过详细评审而未被否决的投标人。</w:t>
      </w:r>
    </w:p>
    <w:p>
      <w:pPr>
        <w:rPr>
          <w:sz w:val="24"/>
          <w:szCs w:val="24"/>
        </w:rPr>
      </w:pPr>
      <w:r>
        <w:rPr>
          <w:sz w:val="24"/>
          <w:szCs w:val="24"/>
        </w:rPr>
        <w:t xml:space="preserve">    </w:t>
      </w:r>
    </w:p>
    <w:p>
      <w:pPr>
        <w:spacing w:line="700" w:lineRule="exact"/>
        <w:jc w:val="right"/>
        <w:rPr>
          <w:sz w:val="24"/>
          <w:szCs w:val="24"/>
        </w:rPr>
      </w:pPr>
      <w:r>
        <w:rPr>
          <w:sz w:val="24"/>
          <w:szCs w:val="24"/>
        </w:rPr>
        <w:t>评标委员会成员签名：</w:t>
      </w:r>
      <w:r>
        <w:rPr>
          <w:b/>
          <w:sz w:val="24"/>
          <w:szCs w:val="24"/>
        </w:rPr>
        <w:t xml:space="preserve"> </w:t>
      </w:r>
      <w:r>
        <w:rPr>
          <w:sz w:val="24"/>
          <w:szCs w:val="24"/>
        </w:rPr>
        <w:t xml:space="preserve">                           </w:t>
      </w:r>
      <w:r>
        <w:rPr>
          <w:rFonts w:hint="eastAsia"/>
          <w:sz w:val="24"/>
          <w:szCs w:val="24"/>
          <w:lang w:val="en-US" w:eastAsia="zh-CN"/>
        </w:rPr>
        <w:t xml:space="preserve"> </w:t>
      </w:r>
      <w:r>
        <w:rPr>
          <w:sz w:val="24"/>
          <w:szCs w:val="24"/>
        </w:rPr>
        <w:t>日期：    年   月   日</w:t>
      </w:r>
    </w:p>
    <w:p>
      <w:pPr>
        <w:ind w:left="0" w:leftChars="0" w:firstLine="480" w:firstLineChars="200"/>
        <w:rPr>
          <w:rFonts w:hint="eastAsia" w:ascii="仿宋" w:hAnsi="仿宋" w:eastAsia="仿宋" w:cs="仿宋"/>
          <w:sz w:val="24"/>
          <w:szCs w:val="24"/>
        </w:rPr>
        <w:sectPr>
          <w:pgSz w:w="11906" w:h="16838"/>
          <w:pgMar w:top="1440" w:right="1800" w:bottom="1440" w:left="1800" w:header="851" w:footer="992" w:gutter="0"/>
          <w:cols w:space="425" w:num="1"/>
          <w:docGrid w:type="lines" w:linePitch="312" w:charSpace="0"/>
        </w:sectPr>
      </w:pPr>
    </w:p>
    <w:p>
      <w:pPr>
        <w:spacing w:line="400" w:lineRule="exact"/>
        <w:outlineLvl w:val="0"/>
        <w:rPr>
          <w:rFonts w:hint="eastAsia" w:ascii="仿宋" w:hAnsi="仿宋" w:eastAsia="仿宋" w:cs="仿宋"/>
          <w:b/>
          <w:bCs/>
          <w:sz w:val="32"/>
          <w:szCs w:val="32"/>
          <w:lang w:val="en-US" w:eastAsia="zh-CN"/>
        </w:rPr>
      </w:pPr>
      <w:bookmarkStart w:id="13" w:name="_Toc6633"/>
      <w:r>
        <w:rPr>
          <w:rFonts w:hint="eastAsia" w:ascii="仿宋" w:hAnsi="仿宋" w:eastAsia="仿宋" w:cs="仿宋"/>
          <w:b/>
          <w:bCs/>
          <w:sz w:val="32"/>
          <w:szCs w:val="32"/>
        </w:rPr>
        <w:t>附</w:t>
      </w:r>
      <w:bookmarkEnd w:id="13"/>
      <w:r>
        <w:rPr>
          <w:rFonts w:hint="eastAsia" w:ascii="仿宋" w:hAnsi="仿宋" w:eastAsia="仿宋" w:cs="仿宋"/>
          <w:b/>
          <w:bCs/>
          <w:sz w:val="32"/>
          <w:szCs w:val="32"/>
          <w:lang w:val="en-US" w:eastAsia="zh-CN"/>
        </w:rPr>
        <w:t>表3：</w:t>
      </w:r>
    </w:p>
    <w:p>
      <w:pPr>
        <w:jc w:val="center"/>
        <w:rPr>
          <w:rFonts w:eastAsia="方正小标宋简体"/>
          <w:sz w:val="44"/>
          <w:szCs w:val="44"/>
        </w:rPr>
      </w:pPr>
      <w:r>
        <w:rPr>
          <w:rFonts w:hint="eastAsia" w:eastAsia="方正小标宋简体"/>
          <w:sz w:val="44"/>
          <w:szCs w:val="44"/>
        </w:rPr>
        <w:t>重点单价成本评审记录表</w:t>
      </w:r>
    </w:p>
    <w:p>
      <w:pPr>
        <w:pStyle w:val="5"/>
        <w:spacing w:line="700" w:lineRule="exact"/>
        <w:ind w:firstLine="0" w:firstLineChars="0"/>
        <w:rPr>
          <w:rFonts w:hAnsi="宋体"/>
          <w:sz w:val="24"/>
          <w:szCs w:val="24"/>
        </w:rPr>
      </w:pPr>
      <w:r>
        <w:rPr>
          <w:sz w:val="24"/>
        </w:rPr>
        <w:t>投标人名称：</w:t>
      </w:r>
      <w:r>
        <w:rPr>
          <w:sz w:val="24"/>
          <w:lang w:val="en-US" w:eastAsia="zh-CN"/>
        </w:rPr>
        <w:t xml:space="preserve">                                             </w:t>
      </w:r>
      <w:r>
        <w:rPr>
          <w:rFonts w:hAnsi="宋体"/>
          <w:sz w:val="24"/>
          <w:szCs w:val="24"/>
        </w:rPr>
        <w:t>第</w:t>
      </w:r>
      <w:r>
        <w:rPr>
          <w:sz w:val="24"/>
          <w:szCs w:val="24"/>
        </w:rPr>
        <w:t xml:space="preserve">  </w:t>
      </w:r>
      <w:r>
        <w:rPr>
          <w:rFonts w:hAnsi="宋体"/>
          <w:sz w:val="24"/>
          <w:szCs w:val="24"/>
        </w:rPr>
        <w:t>页</w:t>
      </w:r>
      <w:r>
        <w:rPr>
          <w:sz w:val="24"/>
          <w:szCs w:val="24"/>
          <w:lang w:eastAsia="zh-CN"/>
        </w:rPr>
        <w:t xml:space="preserve"> </w:t>
      </w:r>
      <w:r>
        <w:rPr>
          <w:rFonts w:hAnsi="宋体"/>
          <w:sz w:val="24"/>
          <w:szCs w:val="24"/>
        </w:rPr>
        <w:t>共</w:t>
      </w:r>
      <w:r>
        <w:rPr>
          <w:sz w:val="24"/>
          <w:szCs w:val="24"/>
        </w:rPr>
        <w:t xml:space="preserve">  </w:t>
      </w:r>
      <w:r>
        <w:rPr>
          <w:rFonts w:hAnsi="宋体"/>
          <w:sz w:val="24"/>
          <w:szCs w:val="24"/>
        </w:rPr>
        <w:t>页</w:t>
      </w:r>
    </w:p>
    <w:tbl>
      <w:tblPr>
        <w:tblStyle w:val="8"/>
        <w:tblW w:w="54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6"/>
        <w:gridCol w:w="1320"/>
        <w:gridCol w:w="1389"/>
        <w:gridCol w:w="1292"/>
        <w:gridCol w:w="1447"/>
        <w:gridCol w:w="1046"/>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8" w:hRule="atLeast"/>
        </w:trPr>
        <w:tc>
          <w:tcPr>
            <w:tcW w:w="5000" w:type="pct"/>
            <w:gridSpan w:val="7"/>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8" w:hRule="atLeast"/>
        </w:trPr>
        <w:tc>
          <w:tcPr>
            <w:tcW w:w="5000" w:type="pct"/>
            <w:gridSpan w:val="7"/>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8" w:hRule="atLeast"/>
        </w:trPr>
        <w:tc>
          <w:tcPr>
            <w:tcW w:w="5000" w:type="pct"/>
            <w:gridSpan w:val="7"/>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trPr>
        <w:tc>
          <w:tcPr>
            <w:tcW w:w="39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70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74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项目编码</w:t>
            </w:r>
          </w:p>
        </w:tc>
        <w:tc>
          <w:tcPr>
            <w:tcW w:w="69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投标单价</w:t>
            </w:r>
          </w:p>
        </w:tc>
        <w:tc>
          <w:tcPr>
            <w:tcW w:w="7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控制价单价</w:t>
            </w:r>
          </w:p>
        </w:tc>
        <w:tc>
          <w:tcPr>
            <w:tcW w:w="55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百分比</w:t>
            </w:r>
          </w:p>
        </w:tc>
        <w:tc>
          <w:tcPr>
            <w:tcW w:w="11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是否低于成本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1" w:hRule="atLeast"/>
        </w:trPr>
        <w:tc>
          <w:tcPr>
            <w:tcW w:w="39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05" w:type="pct"/>
            <w:shd w:val="clear" w:color="auto" w:fill="auto"/>
            <w:noWrap/>
            <w:vAlign w:val="center"/>
          </w:tcPr>
          <w:p>
            <w:pPr>
              <w:rPr>
                <w:rFonts w:hint="eastAsia" w:ascii="宋体" w:hAnsi="宋体" w:eastAsia="宋体" w:cs="宋体"/>
                <w:i w:val="0"/>
                <w:iCs w:val="0"/>
                <w:color w:val="000000"/>
                <w:sz w:val="24"/>
                <w:szCs w:val="24"/>
                <w:u w:val="none"/>
              </w:rPr>
            </w:pPr>
          </w:p>
        </w:tc>
        <w:tc>
          <w:tcPr>
            <w:tcW w:w="741" w:type="pct"/>
            <w:shd w:val="clear" w:color="auto" w:fill="auto"/>
            <w:noWrap/>
            <w:vAlign w:val="center"/>
          </w:tcPr>
          <w:p>
            <w:pPr>
              <w:rPr>
                <w:rFonts w:hint="eastAsia" w:ascii="宋体" w:hAnsi="宋体" w:eastAsia="宋体" w:cs="宋体"/>
                <w:i w:val="0"/>
                <w:iCs w:val="0"/>
                <w:color w:val="000000"/>
                <w:sz w:val="24"/>
                <w:szCs w:val="24"/>
                <w:u w:val="none"/>
              </w:rPr>
            </w:pPr>
          </w:p>
        </w:tc>
        <w:tc>
          <w:tcPr>
            <w:tcW w:w="690" w:type="pct"/>
            <w:shd w:val="clear" w:color="auto" w:fill="auto"/>
            <w:noWrap/>
            <w:vAlign w:val="center"/>
          </w:tcPr>
          <w:p>
            <w:pPr>
              <w:rPr>
                <w:rFonts w:hint="eastAsia" w:ascii="宋体" w:hAnsi="宋体" w:eastAsia="宋体" w:cs="宋体"/>
                <w:i w:val="0"/>
                <w:iCs w:val="0"/>
                <w:color w:val="000000"/>
                <w:sz w:val="24"/>
                <w:szCs w:val="24"/>
                <w:u w:val="none"/>
              </w:rPr>
            </w:pPr>
          </w:p>
        </w:tc>
        <w:tc>
          <w:tcPr>
            <w:tcW w:w="772" w:type="pct"/>
            <w:shd w:val="clear" w:color="auto" w:fill="auto"/>
            <w:noWrap/>
            <w:vAlign w:val="center"/>
          </w:tcPr>
          <w:p>
            <w:pPr>
              <w:rPr>
                <w:rFonts w:hint="eastAsia" w:ascii="宋体" w:hAnsi="宋体" w:eastAsia="宋体" w:cs="宋体"/>
                <w:i w:val="0"/>
                <w:iCs w:val="0"/>
                <w:color w:val="000000"/>
                <w:sz w:val="24"/>
                <w:szCs w:val="24"/>
                <w:u w:val="none"/>
              </w:rPr>
            </w:pPr>
          </w:p>
        </w:tc>
        <w:tc>
          <w:tcPr>
            <w:tcW w:w="558" w:type="pct"/>
            <w:shd w:val="clear" w:color="auto" w:fill="auto"/>
            <w:noWrap/>
            <w:vAlign w:val="center"/>
          </w:tcPr>
          <w:p>
            <w:pPr>
              <w:rPr>
                <w:rFonts w:hint="eastAsia" w:ascii="宋体" w:hAnsi="宋体" w:eastAsia="宋体" w:cs="宋体"/>
                <w:i w:val="0"/>
                <w:iCs w:val="0"/>
                <w:color w:val="000000"/>
                <w:sz w:val="24"/>
                <w:szCs w:val="24"/>
                <w:u w:val="none"/>
              </w:rPr>
            </w:pPr>
          </w:p>
        </w:tc>
        <w:tc>
          <w:tcPr>
            <w:tcW w:w="11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10"/>
                <w:rFonts w:hint="eastAsia" w:ascii="宋体" w:hAnsi="宋体" w:eastAsia="宋体" w:cs="宋体"/>
                <w:sz w:val="24"/>
                <w:szCs w:val="24"/>
                <w:lang w:val="en-US" w:eastAsia="zh-CN" w:bidi="ar"/>
              </w:rPr>
              <w:t xml:space="preserve">是 </w:t>
            </w:r>
            <w:r>
              <w:rPr>
                <w:rStyle w:val="11"/>
                <w:rFonts w:hint="eastAsia" w:ascii="宋体" w:hAnsi="宋体" w:eastAsia="宋体" w:cs="宋体"/>
                <w:sz w:val="24"/>
                <w:szCs w:val="24"/>
                <w:lang w:val="en-US" w:eastAsia="zh-CN" w:bidi="ar"/>
              </w:rPr>
              <w:t>□</w:t>
            </w:r>
            <w:r>
              <w:rPr>
                <w:rStyle w:val="10"/>
                <w:rFonts w:hint="eastAsia" w:ascii="宋体" w:hAnsi="宋体" w:eastAsia="宋体" w:cs="宋体"/>
                <w:sz w:val="24"/>
                <w:szCs w:val="24"/>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1" w:hRule="atLeast"/>
        </w:trPr>
        <w:tc>
          <w:tcPr>
            <w:tcW w:w="39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5" w:type="pct"/>
            <w:shd w:val="clear" w:color="auto" w:fill="auto"/>
            <w:noWrap/>
            <w:vAlign w:val="center"/>
          </w:tcPr>
          <w:p>
            <w:pPr>
              <w:rPr>
                <w:rFonts w:hint="eastAsia" w:ascii="宋体" w:hAnsi="宋体" w:eastAsia="宋体" w:cs="宋体"/>
                <w:i w:val="0"/>
                <w:iCs w:val="0"/>
                <w:color w:val="000000"/>
                <w:sz w:val="24"/>
                <w:szCs w:val="24"/>
                <w:u w:val="none"/>
              </w:rPr>
            </w:pPr>
          </w:p>
        </w:tc>
        <w:tc>
          <w:tcPr>
            <w:tcW w:w="741" w:type="pct"/>
            <w:shd w:val="clear" w:color="auto" w:fill="auto"/>
            <w:noWrap/>
            <w:vAlign w:val="center"/>
          </w:tcPr>
          <w:p>
            <w:pPr>
              <w:rPr>
                <w:rFonts w:hint="eastAsia" w:ascii="宋体" w:hAnsi="宋体" w:eastAsia="宋体" w:cs="宋体"/>
                <w:i w:val="0"/>
                <w:iCs w:val="0"/>
                <w:color w:val="000000"/>
                <w:sz w:val="24"/>
                <w:szCs w:val="24"/>
                <w:u w:val="none"/>
              </w:rPr>
            </w:pPr>
          </w:p>
        </w:tc>
        <w:tc>
          <w:tcPr>
            <w:tcW w:w="690" w:type="pct"/>
            <w:shd w:val="clear" w:color="auto" w:fill="auto"/>
            <w:noWrap/>
            <w:vAlign w:val="center"/>
          </w:tcPr>
          <w:p>
            <w:pPr>
              <w:rPr>
                <w:rFonts w:hint="eastAsia" w:ascii="宋体" w:hAnsi="宋体" w:eastAsia="宋体" w:cs="宋体"/>
                <w:i w:val="0"/>
                <w:iCs w:val="0"/>
                <w:color w:val="000000"/>
                <w:sz w:val="24"/>
                <w:szCs w:val="24"/>
                <w:u w:val="none"/>
              </w:rPr>
            </w:pPr>
          </w:p>
        </w:tc>
        <w:tc>
          <w:tcPr>
            <w:tcW w:w="772" w:type="pct"/>
            <w:shd w:val="clear" w:color="auto" w:fill="auto"/>
            <w:noWrap/>
            <w:vAlign w:val="center"/>
          </w:tcPr>
          <w:p>
            <w:pPr>
              <w:rPr>
                <w:rFonts w:hint="eastAsia" w:ascii="宋体" w:hAnsi="宋体" w:eastAsia="宋体" w:cs="宋体"/>
                <w:i w:val="0"/>
                <w:iCs w:val="0"/>
                <w:color w:val="000000"/>
                <w:sz w:val="24"/>
                <w:szCs w:val="24"/>
                <w:u w:val="none"/>
              </w:rPr>
            </w:pPr>
          </w:p>
        </w:tc>
        <w:tc>
          <w:tcPr>
            <w:tcW w:w="558" w:type="pct"/>
            <w:shd w:val="clear" w:color="auto" w:fill="auto"/>
            <w:noWrap/>
            <w:vAlign w:val="center"/>
          </w:tcPr>
          <w:p>
            <w:pPr>
              <w:rPr>
                <w:rFonts w:hint="eastAsia" w:ascii="宋体" w:hAnsi="宋体" w:eastAsia="宋体" w:cs="宋体"/>
                <w:i w:val="0"/>
                <w:iCs w:val="0"/>
                <w:color w:val="000000"/>
                <w:sz w:val="24"/>
                <w:szCs w:val="24"/>
                <w:u w:val="none"/>
              </w:rPr>
            </w:pPr>
          </w:p>
        </w:tc>
        <w:tc>
          <w:tcPr>
            <w:tcW w:w="11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10"/>
                <w:rFonts w:hint="eastAsia" w:ascii="宋体" w:hAnsi="宋体" w:eastAsia="宋体" w:cs="宋体"/>
                <w:sz w:val="24"/>
                <w:szCs w:val="24"/>
                <w:lang w:val="en-US" w:eastAsia="zh-CN" w:bidi="ar"/>
              </w:rPr>
              <w:t xml:space="preserve">是 </w:t>
            </w:r>
            <w:r>
              <w:rPr>
                <w:rStyle w:val="11"/>
                <w:rFonts w:hint="eastAsia" w:ascii="宋体" w:hAnsi="宋体" w:eastAsia="宋体" w:cs="宋体"/>
                <w:sz w:val="24"/>
                <w:szCs w:val="24"/>
                <w:lang w:val="en-US" w:eastAsia="zh-CN" w:bidi="ar"/>
              </w:rPr>
              <w:t>□</w:t>
            </w:r>
            <w:r>
              <w:rPr>
                <w:rStyle w:val="10"/>
                <w:rFonts w:hint="eastAsia" w:ascii="宋体" w:hAnsi="宋体" w:eastAsia="宋体" w:cs="宋体"/>
                <w:sz w:val="24"/>
                <w:szCs w:val="24"/>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1" w:hRule="atLeast"/>
        </w:trPr>
        <w:tc>
          <w:tcPr>
            <w:tcW w:w="39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05" w:type="pct"/>
            <w:shd w:val="clear" w:color="auto" w:fill="auto"/>
            <w:noWrap/>
            <w:vAlign w:val="center"/>
          </w:tcPr>
          <w:p>
            <w:pPr>
              <w:rPr>
                <w:rFonts w:hint="eastAsia" w:ascii="宋体" w:hAnsi="宋体" w:eastAsia="宋体" w:cs="宋体"/>
                <w:i w:val="0"/>
                <w:iCs w:val="0"/>
                <w:color w:val="000000"/>
                <w:sz w:val="24"/>
                <w:szCs w:val="24"/>
                <w:u w:val="none"/>
              </w:rPr>
            </w:pPr>
          </w:p>
        </w:tc>
        <w:tc>
          <w:tcPr>
            <w:tcW w:w="741" w:type="pct"/>
            <w:shd w:val="clear" w:color="auto" w:fill="auto"/>
            <w:noWrap/>
            <w:vAlign w:val="center"/>
          </w:tcPr>
          <w:p>
            <w:pPr>
              <w:rPr>
                <w:rFonts w:hint="eastAsia" w:ascii="宋体" w:hAnsi="宋体" w:eastAsia="宋体" w:cs="宋体"/>
                <w:i w:val="0"/>
                <w:iCs w:val="0"/>
                <w:color w:val="000000"/>
                <w:sz w:val="24"/>
                <w:szCs w:val="24"/>
                <w:u w:val="none"/>
              </w:rPr>
            </w:pPr>
          </w:p>
        </w:tc>
        <w:tc>
          <w:tcPr>
            <w:tcW w:w="690" w:type="pct"/>
            <w:shd w:val="clear" w:color="auto" w:fill="auto"/>
            <w:noWrap/>
            <w:vAlign w:val="center"/>
          </w:tcPr>
          <w:p>
            <w:pPr>
              <w:rPr>
                <w:rFonts w:hint="eastAsia" w:ascii="宋体" w:hAnsi="宋体" w:eastAsia="宋体" w:cs="宋体"/>
                <w:i w:val="0"/>
                <w:iCs w:val="0"/>
                <w:color w:val="000000"/>
                <w:sz w:val="24"/>
                <w:szCs w:val="24"/>
                <w:u w:val="none"/>
              </w:rPr>
            </w:pPr>
          </w:p>
        </w:tc>
        <w:tc>
          <w:tcPr>
            <w:tcW w:w="772" w:type="pct"/>
            <w:shd w:val="clear" w:color="auto" w:fill="auto"/>
            <w:noWrap/>
            <w:vAlign w:val="center"/>
          </w:tcPr>
          <w:p>
            <w:pPr>
              <w:rPr>
                <w:rFonts w:hint="eastAsia" w:ascii="宋体" w:hAnsi="宋体" w:eastAsia="宋体" w:cs="宋体"/>
                <w:i w:val="0"/>
                <w:iCs w:val="0"/>
                <w:color w:val="000000"/>
                <w:sz w:val="24"/>
                <w:szCs w:val="24"/>
                <w:u w:val="none"/>
              </w:rPr>
            </w:pPr>
          </w:p>
        </w:tc>
        <w:tc>
          <w:tcPr>
            <w:tcW w:w="558" w:type="pct"/>
            <w:shd w:val="clear" w:color="auto" w:fill="auto"/>
            <w:noWrap/>
            <w:vAlign w:val="center"/>
          </w:tcPr>
          <w:p>
            <w:pPr>
              <w:rPr>
                <w:rFonts w:hint="eastAsia" w:ascii="宋体" w:hAnsi="宋体" w:eastAsia="宋体" w:cs="宋体"/>
                <w:i w:val="0"/>
                <w:iCs w:val="0"/>
                <w:color w:val="000000"/>
                <w:sz w:val="24"/>
                <w:szCs w:val="24"/>
                <w:u w:val="none"/>
              </w:rPr>
            </w:pPr>
          </w:p>
        </w:tc>
        <w:tc>
          <w:tcPr>
            <w:tcW w:w="113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10"/>
                <w:rFonts w:hint="eastAsia" w:ascii="宋体" w:hAnsi="宋体" w:eastAsia="宋体" w:cs="宋体"/>
                <w:sz w:val="24"/>
                <w:szCs w:val="24"/>
                <w:lang w:val="en-US" w:eastAsia="zh-CN" w:bidi="ar"/>
              </w:rPr>
              <w:t xml:space="preserve">是 </w:t>
            </w:r>
            <w:r>
              <w:rPr>
                <w:rStyle w:val="11"/>
                <w:rFonts w:hint="eastAsia" w:ascii="宋体" w:hAnsi="宋体" w:eastAsia="宋体" w:cs="宋体"/>
                <w:sz w:val="24"/>
                <w:szCs w:val="24"/>
                <w:lang w:val="en-US" w:eastAsia="zh-CN" w:bidi="ar"/>
              </w:rPr>
              <w:t>□</w:t>
            </w:r>
            <w:r>
              <w:rPr>
                <w:rStyle w:val="10"/>
                <w:rFonts w:hint="eastAsia" w:ascii="宋体" w:hAnsi="宋体" w:eastAsia="宋体" w:cs="宋体"/>
                <w:sz w:val="24"/>
                <w:szCs w:val="24"/>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1" w:hRule="atLeast"/>
        </w:trPr>
        <w:tc>
          <w:tcPr>
            <w:tcW w:w="39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5" w:type="pct"/>
            <w:shd w:val="clear" w:color="auto" w:fill="auto"/>
            <w:noWrap/>
            <w:vAlign w:val="center"/>
          </w:tcPr>
          <w:p>
            <w:pPr>
              <w:rPr>
                <w:rFonts w:hint="eastAsia" w:ascii="宋体" w:hAnsi="宋体" w:eastAsia="宋体" w:cs="宋体"/>
                <w:i w:val="0"/>
                <w:iCs w:val="0"/>
                <w:color w:val="000000"/>
                <w:sz w:val="24"/>
                <w:szCs w:val="24"/>
                <w:u w:val="none"/>
              </w:rPr>
            </w:pPr>
          </w:p>
        </w:tc>
        <w:tc>
          <w:tcPr>
            <w:tcW w:w="741" w:type="pct"/>
            <w:shd w:val="clear" w:color="auto" w:fill="auto"/>
            <w:noWrap/>
            <w:vAlign w:val="center"/>
          </w:tcPr>
          <w:p>
            <w:pPr>
              <w:rPr>
                <w:rFonts w:hint="eastAsia" w:ascii="宋体" w:hAnsi="宋体" w:eastAsia="宋体" w:cs="宋体"/>
                <w:i w:val="0"/>
                <w:iCs w:val="0"/>
                <w:color w:val="000000"/>
                <w:sz w:val="24"/>
                <w:szCs w:val="24"/>
                <w:u w:val="none"/>
              </w:rPr>
            </w:pPr>
          </w:p>
        </w:tc>
        <w:tc>
          <w:tcPr>
            <w:tcW w:w="690" w:type="pct"/>
            <w:shd w:val="clear" w:color="auto" w:fill="auto"/>
            <w:noWrap/>
            <w:vAlign w:val="center"/>
          </w:tcPr>
          <w:p>
            <w:pPr>
              <w:rPr>
                <w:rFonts w:hint="eastAsia" w:ascii="宋体" w:hAnsi="宋体" w:eastAsia="宋体" w:cs="宋体"/>
                <w:i w:val="0"/>
                <w:iCs w:val="0"/>
                <w:color w:val="000000"/>
                <w:sz w:val="24"/>
                <w:szCs w:val="24"/>
                <w:u w:val="none"/>
              </w:rPr>
            </w:pPr>
          </w:p>
        </w:tc>
        <w:tc>
          <w:tcPr>
            <w:tcW w:w="772" w:type="pct"/>
            <w:shd w:val="clear" w:color="auto" w:fill="auto"/>
            <w:noWrap/>
            <w:vAlign w:val="center"/>
          </w:tcPr>
          <w:p>
            <w:pPr>
              <w:rPr>
                <w:rFonts w:hint="eastAsia" w:ascii="宋体" w:hAnsi="宋体" w:eastAsia="宋体" w:cs="宋体"/>
                <w:i w:val="0"/>
                <w:iCs w:val="0"/>
                <w:color w:val="000000"/>
                <w:sz w:val="24"/>
                <w:szCs w:val="24"/>
                <w:u w:val="none"/>
              </w:rPr>
            </w:pPr>
          </w:p>
        </w:tc>
        <w:tc>
          <w:tcPr>
            <w:tcW w:w="558" w:type="pct"/>
            <w:shd w:val="clear" w:color="auto" w:fill="auto"/>
            <w:noWrap/>
            <w:vAlign w:val="center"/>
          </w:tcPr>
          <w:p>
            <w:pPr>
              <w:rPr>
                <w:rFonts w:hint="eastAsia" w:ascii="宋体" w:hAnsi="宋体" w:eastAsia="宋体" w:cs="宋体"/>
                <w:i w:val="0"/>
                <w:iCs w:val="0"/>
                <w:color w:val="000000"/>
                <w:sz w:val="24"/>
                <w:szCs w:val="24"/>
                <w:u w:val="none"/>
              </w:rPr>
            </w:pPr>
          </w:p>
        </w:tc>
        <w:tc>
          <w:tcPr>
            <w:tcW w:w="1138" w:type="pct"/>
            <w:shd w:val="clear" w:color="auto" w:fill="auto"/>
            <w:noWrap/>
            <w:vAlign w:val="center"/>
          </w:tcPr>
          <w:p>
            <w:pPr>
              <w:rPr>
                <w:rFonts w:hint="eastAsia" w:ascii="宋体" w:hAnsi="宋体" w:eastAsia="宋体" w:cs="宋体"/>
                <w:i w:val="0"/>
                <w:iCs w:val="0"/>
                <w:color w:val="000000"/>
                <w:sz w:val="24"/>
                <w:szCs w:val="24"/>
                <w:u w:val="none"/>
              </w:rPr>
            </w:pPr>
          </w:p>
        </w:tc>
      </w:tr>
    </w:tbl>
    <w:p>
      <w:pPr>
        <w:ind w:left="0" w:leftChars="0" w:firstLine="0" w:firstLineChars="0"/>
        <w:rPr>
          <w:rFonts w:hint="eastAsia" w:ascii="宋体" w:hAnsi="宋体" w:eastAsia="宋体" w:cs="宋体"/>
          <w:sz w:val="24"/>
          <w:szCs w:val="24"/>
          <w:lang w:val="en-US" w:eastAsia="zh-CN"/>
        </w:rPr>
      </w:pPr>
    </w:p>
    <w:p>
      <w:p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w:t>
      </w:r>
    </w:p>
    <w:p>
      <w:p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1、此表只记录低于评审标准的重点单价。</w:t>
      </w:r>
    </w:p>
    <w:p>
      <w:p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2、工程类型为：房屋建筑总承包工程、市政基础设施总承包工程（轨道交通工程除外）、轨道交通工程、单独招标的装饰装修工程、单独招标的园林景观绿化工程或仿古建筑工程、单独招标的安装工程。</w:t>
      </w:r>
    </w:p>
    <w:p>
      <w:p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3、评审标准为本规则第四条中规定的工程类型对应评审标准（百分比）。</w:t>
      </w:r>
    </w:p>
    <w:p>
      <w:pPr>
        <w:ind w:left="0" w:leftChars="0" w:firstLine="0" w:firstLineChars="0"/>
        <w:rPr>
          <w:rFonts w:hint="eastAsia" w:ascii="仿宋" w:hAnsi="仿宋" w:eastAsia="仿宋" w:cs="仿宋"/>
          <w:sz w:val="32"/>
          <w:szCs w:val="32"/>
        </w:rPr>
      </w:pPr>
    </w:p>
    <w:p>
      <w:pPr>
        <w:spacing w:line="700" w:lineRule="exact"/>
        <w:jc w:val="right"/>
        <w:rPr>
          <w:sz w:val="24"/>
          <w:szCs w:val="24"/>
        </w:rPr>
      </w:pPr>
      <w:r>
        <w:rPr>
          <w:sz w:val="24"/>
          <w:szCs w:val="24"/>
        </w:rPr>
        <w:t>评标委员会成员签名：</w:t>
      </w:r>
      <w:r>
        <w:rPr>
          <w:b/>
          <w:sz w:val="24"/>
          <w:szCs w:val="24"/>
        </w:rPr>
        <w:t xml:space="preserve"> </w:t>
      </w:r>
      <w:r>
        <w:rPr>
          <w:sz w:val="24"/>
          <w:szCs w:val="24"/>
        </w:rPr>
        <w:t xml:space="preserve">                           </w:t>
      </w:r>
      <w:r>
        <w:rPr>
          <w:rFonts w:hint="eastAsia"/>
          <w:sz w:val="24"/>
          <w:szCs w:val="24"/>
          <w:lang w:val="en-US" w:eastAsia="zh-CN"/>
        </w:rPr>
        <w:t xml:space="preserve"> </w:t>
      </w:r>
      <w:r>
        <w:rPr>
          <w:sz w:val="24"/>
          <w:szCs w:val="24"/>
        </w:rPr>
        <w:t>日期：    年   月   日</w:t>
      </w:r>
    </w:p>
    <w:p>
      <w:pPr>
        <w:ind w:left="0" w:leftChars="0" w:firstLine="0" w:firstLineChars="0"/>
        <w:rPr>
          <w:rFonts w:hint="eastAsia" w:ascii="仿宋" w:hAnsi="仿宋" w:eastAsia="仿宋" w:cs="仿宋"/>
          <w:sz w:val="32"/>
          <w:szCs w:val="32"/>
        </w:rPr>
        <w:sectPr>
          <w:pgSz w:w="11906" w:h="16838"/>
          <w:pgMar w:top="1440" w:right="1800" w:bottom="1440" w:left="1800" w:header="851" w:footer="992" w:gutter="0"/>
          <w:cols w:space="425" w:num="1"/>
          <w:docGrid w:type="lines" w:linePitch="312" w:charSpace="0"/>
        </w:sectPr>
      </w:pPr>
    </w:p>
    <w:p>
      <w:pPr>
        <w:spacing w:line="400" w:lineRule="exact"/>
        <w:outlineLvl w:val="0"/>
        <w:rPr>
          <w:rFonts w:hint="eastAsia" w:ascii="仿宋" w:hAnsi="仿宋" w:eastAsia="仿宋" w:cs="仿宋"/>
          <w:b/>
          <w:bCs/>
          <w:sz w:val="32"/>
          <w:szCs w:val="32"/>
          <w:lang w:val="en-US" w:eastAsia="zh-CN"/>
        </w:rPr>
      </w:pPr>
      <w:bookmarkStart w:id="14" w:name="_Toc32215"/>
      <w:r>
        <w:rPr>
          <w:rFonts w:hint="eastAsia" w:ascii="仿宋" w:hAnsi="仿宋" w:eastAsia="仿宋" w:cs="仿宋"/>
          <w:b/>
          <w:bCs/>
          <w:sz w:val="32"/>
          <w:szCs w:val="32"/>
        </w:rPr>
        <w:t>附</w:t>
      </w:r>
      <w:r>
        <w:rPr>
          <w:rFonts w:hint="eastAsia" w:ascii="仿宋" w:hAnsi="仿宋" w:eastAsia="仿宋" w:cs="仿宋"/>
          <w:b/>
          <w:bCs/>
          <w:sz w:val="32"/>
          <w:szCs w:val="32"/>
          <w:lang w:val="en-US" w:eastAsia="zh-CN"/>
        </w:rPr>
        <w:t>表</w:t>
      </w:r>
      <w:bookmarkEnd w:id="14"/>
      <w:r>
        <w:rPr>
          <w:rFonts w:hint="eastAsia" w:ascii="仿宋" w:hAnsi="仿宋" w:eastAsia="仿宋" w:cs="仿宋"/>
          <w:b/>
          <w:bCs/>
          <w:sz w:val="32"/>
          <w:szCs w:val="32"/>
          <w:lang w:val="en-US" w:eastAsia="zh-CN"/>
        </w:rPr>
        <w:t>4：</w:t>
      </w:r>
    </w:p>
    <w:p>
      <w:pPr>
        <w:ind w:left="0" w:leftChars="0" w:firstLine="0" w:firstLineChars="0"/>
        <w:jc w:val="center"/>
        <w:rPr>
          <w:rFonts w:hint="eastAsia" w:ascii="宋体" w:hAnsi="宋体" w:eastAsia="宋体" w:cs="宋体"/>
          <w:sz w:val="44"/>
          <w:szCs w:val="44"/>
        </w:rPr>
      </w:pPr>
      <w:r>
        <w:rPr>
          <w:rFonts w:hint="eastAsia" w:eastAsia="方正小标宋简体"/>
          <w:sz w:val="44"/>
          <w:szCs w:val="44"/>
        </w:rPr>
        <w:t>不平衡报价评审记录表</w:t>
      </w:r>
    </w:p>
    <w:p>
      <w:pPr>
        <w:pStyle w:val="5"/>
        <w:spacing w:line="700" w:lineRule="exact"/>
        <w:ind w:firstLine="0" w:firstLineChars="0"/>
        <w:rPr>
          <w:rFonts w:hAnsi="宋体"/>
          <w:sz w:val="24"/>
          <w:szCs w:val="24"/>
        </w:rPr>
      </w:pPr>
      <w:r>
        <w:rPr>
          <w:sz w:val="24"/>
        </w:rPr>
        <w:t>投标人名称：</w:t>
      </w:r>
      <w:r>
        <w:rPr>
          <w:sz w:val="24"/>
          <w:lang w:val="en-US" w:eastAsia="zh-CN"/>
        </w:rPr>
        <w:t xml:space="preserve">                                             </w:t>
      </w:r>
      <w:r>
        <w:rPr>
          <w:rFonts w:hAnsi="宋体"/>
          <w:sz w:val="24"/>
          <w:szCs w:val="24"/>
        </w:rPr>
        <w:t>第</w:t>
      </w:r>
      <w:r>
        <w:rPr>
          <w:sz w:val="24"/>
          <w:szCs w:val="24"/>
        </w:rPr>
        <w:t xml:space="preserve">  </w:t>
      </w:r>
      <w:r>
        <w:rPr>
          <w:rFonts w:hAnsi="宋体"/>
          <w:sz w:val="24"/>
          <w:szCs w:val="24"/>
        </w:rPr>
        <w:t>页</w:t>
      </w:r>
      <w:r>
        <w:rPr>
          <w:sz w:val="24"/>
          <w:szCs w:val="24"/>
          <w:lang w:eastAsia="zh-CN"/>
        </w:rPr>
        <w:t xml:space="preserve"> </w:t>
      </w:r>
      <w:r>
        <w:rPr>
          <w:rFonts w:hAnsi="宋体"/>
          <w:sz w:val="24"/>
          <w:szCs w:val="24"/>
        </w:rPr>
        <w:t>共</w:t>
      </w:r>
      <w:r>
        <w:rPr>
          <w:sz w:val="24"/>
          <w:szCs w:val="24"/>
        </w:rPr>
        <w:t xml:space="preserve">  </w:t>
      </w:r>
      <w:r>
        <w:rPr>
          <w:rFonts w:hAnsi="宋体"/>
          <w:sz w:val="24"/>
          <w:szCs w:val="24"/>
        </w:rPr>
        <w:t>页</w:t>
      </w:r>
    </w:p>
    <w:tbl>
      <w:tblPr>
        <w:tblStyle w:val="8"/>
        <w:tblW w:w="521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6"/>
        <w:gridCol w:w="1148"/>
        <w:gridCol w:w="1154"/>
        <w:gridCol w:w="1125"/>
        <w:gridCol w:w="1340"/>
        <w:gridCol w:w="919"/>
        <w:gridCol w:w="1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5000" w:type="pct"/>
            <w:gridSpan w:val="7"/>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一、分部分项工程量清单综合单价项目（包括可计量措施费）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7" w:type="pct"/>
            <w:tcBorders>
              <w:top w:val="single" w:color="auto"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45"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64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项目编码</w:t>
            </w:r>
          </w:p>
        </w:tc>
        <w:tc>
          <w:tcPr>
            <w:tcW w:w="632"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投标单价</w:t>
            </w:r>
          </w:p>
        </w:tc>
        <w:tc>
          <w:tcPr>
            <w:tcW w:w="753"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控制价单价</w:t>
            </w:r>
          </w:p>
        </w:tc>
        <w:tc>
          <w:tcPr>
            <w:tcW w:w="516"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百分比</w:t>
            </w:r>
          </w:p>
        </w:tc>
        <w:tc>
          <w:tcPr>
            <w:tcW w:w="954" w:type="pct"/>
            <w:tcBorders>
              <w:top w:val="single" w:color="auto"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控制价对应部分合价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4045" w:type="pct"/>
            <w:gridSpan w:val="6"/>
            <w:tcBorders>
              <w:top w:val="single" w:color="000000" w:sz="4"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54"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00" w:type="pct"/>
            <w:gridSpan w:val="7"/>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二、单位工程总价措施项目费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单项工程</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5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单位工程</w:t>
            </w:r>
          </w:p>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名称1</w:t>
            </w:r>
          </w:p>
        </w:tc>
        <w:tc>
          <w:tcPr>
            <w:tcW w:w="1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投标人总价措施项目清单与计价表合计</w:t>
            </w:r>
          </w:p>
        </w:tc>
        <w:tc>
          <w:tcPr>
            <w:tcW w:w="13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控制价总价措施项目清单与计价表合计</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百分比</w:t>
            </w:r>
          </w:p>
        </w:tc>
        <w:tc>
          <w:tcPr>
            <w:tcW w:w="95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控制价对应部分合价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单位工程</w:t>
            </w:r>
          </w:p>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名称2</w:t>
            </w:r>
          </w:p>
        </w:tc>
        <w:tc>
          <w:tcPr>
            <w:tcW w:w="1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投标人总价措施项目清单与计价表合计</w:t>
            </w:r>
          </w:p>
        </w:tc>
        <w:tc>
          <w:tcPr>
            <w:tcW w:w="13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控制价总价措施项目清单与计价表合计</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百分比</w:t>
            </w:r>
          </w:p>
        </w:tc>
        <w:tc>
          <w:tcPr>
            <w:tcW w:w="95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控制价对应部分合价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4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4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4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5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4045" w:type="pct"/>
            <w:gridSpan w:val="6"/>
            <w:tcBorders>
              <w:top w:val="single" w:color="000000" w:sz="4"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54"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045" w:type="pct"/>
            <w:gridSpan w:val="6"/>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投标人不平衡报价项目的金额总计：</w:t>
            </w:r>
          </w:p>
        </w:tc>
        <w:tc>
          <w:tcPr>
            <w:tcW w:w="954" w:type="pct"/>
            <w:tcBorders>
              <w:top w:val="single" w:color="000000" w:sz="8"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045" w:type="pct"/>
            <w:gridSpan w:val="6"/>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招标控制价：</w:t>
            </w:r>
          </w:p>
        </w:tc>
        <w:tc>
          <w:tcPr>
            <w:tcW w:w="95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4045" w:type="pct"/>
            <w:gridSpan w:val="6"/>
            <w:tcBorders>
              <w:top w:val="single" w:color="000000" w:sz="4"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投标人不平衡报价项目的金额占比：</w:t>
            </w:r>
          </w:p>
        </w:tc>
        <w:tc>
          <w:tcPr>
            <w:tcW w:w="954"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00" w:type="pct"/>
            <w:gridSpan w:val="7"/>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42" w:type="pct"/>
            <w:gridSpan w:val="3"/>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投标人不平衡报价项目的金额超过招标控制价的20%（含）时</w:t>
            </w:r>
          </w:p>
        </w:tc>
        <w:tc>
          <w:tcPr>
            <w:tcW w:w="285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当投标人不平衡报价项目的金额在招标控制价的10（含）～20%（不含）时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trPr>
        <w:tc>
          <w:tcPr>
            <w:tcW w:w="2142" w:type="pct"/>
            <w:gridSpan w:val="3"/>
            <w:tcBorders>
              <w:top w:val="single" w:color="000000" w:sz="4" w:space="0"/>
              <w:left w:val="single" w:color="000000" w:sz="8" w:space="0"/>
              <w:bottom w:val="single" w:color="000000" w:sz="8"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是否否决其投标：  □是 □否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如果不否决其投标，请写明原因：</w:t>
            </w:r>
          </w:p>
        </w:tc>
        <w:tc>
          <w:tcPr>
            <w:tcW w:w="2857" w:type="pct"/>
            <w:gridSpan w:val="4"/>
            <w:tcBorders>
              <w:top w:val="single" w:color="000000" w:sz="4" w:space="0"/>
              <w:left w:val="single" w:color="000000" w:sz="4" w:space="0"/>
              <w:bottom w:val="single" w:color="000000" w:sz="8"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评标委员会对招标人在签订合同是的建议事项：</w:t>
            </w:r>
          </w:p>
        </w:tc>
      </w:tr>
    </w:tbl>
    <w:p>
      <w:pPr>
        <w:spacing w:line="400" w:lineRule="exact"/>
        <w:outlineLvl w:val="0"/>
        <w:rPr>
          <w:rFonts w:hint="eastAsia" w:ascii="仿宋" w:hAnsi="仿宋" w:eastAsia="仿宋" w:cs="仿宋"/>
          <w:b/>
          <w:bCs/>
          <w:sz w:val="32"/>
          <w:szCs w:val="32"/>
          <w:lang w:val="en-US" w:eastAsia="zh-CN"/>
        </w:rPr>
      </w:pPr>
      <w:bookmarkStart w:id="15" w:name="_Toc15386"/>
      <w:r>
        <w:rPr>
          <w:rFonts w:hint="eastAsia" w:ascii="仿宋" w:hAnsi="仿宋" w:eastAsia="仿宋" w:cs="仿宋"/>
          <w:b/>
          <w:bCs/>
          <w:sz w:val="32"/>
          <w:szCs w:val="32"/>
        </w:rPr>
        <w:t>附</w:t>
      </w:r>
      <w:r>
        <w:rPr>
          <w:rFonts w:hint="eastAsia" w:ascii="仿宋" w:hAnsi="仿宋" w:eastAsia="仿宋" w:cs="仿宋"/>
          <w:b/>
          <w:bCs/>
          <w:sz w:val="32"/>
          <w:szCs w:val="32"/>
          <w:lang w:val="en-US" w:eastAsia="zh-CN"/>
        </w:rPr>
        <w:t>表</w:t>
      </w:r>
      <w:bookmarkEnd w:id="15"/>
      <w:r>
        <w:rPr>
          <w:rFonts w:hint="eastAsia" w:ascii="仿宋" w:hAnsi="仿宋" w:eastAsia="仿宋" w:cs="仿宋"/>
          <w:b/>
          <w:bCs/>
          <w:sz w:val="32"/>
          <w:szCs w:val="32"/>
          <w:lang w:val="en-US" w:eastAsia="zh-CN"/>
        </w:rPr>
        <w:t>5：</w:t>
      </w:r>
    </w:p>
    <w:p>
      <w:pPr>
        <w:jc w:val="center"/>
        <w:rPr>
          <w:rFonts w:hint="eastAsia" w:eastAsia="方正小标宋简体"/>
          <w:sz w:val="44"/>
          <w:szCs w:val="44"/>
        </w:rPr>
      </w:pPr>
      <w:bookmarkStart w:id="16" w:name="_Toc2075"/>
      <w:r>
        <w:rPr>
          <w:rFonts w:hint="eastAsia" w:eastAsia="方正小标宋简体"/>
          <w:sz w:val="44"/>
          <w:szCs w:val="44"/>
        </w:rPr>
        <w:t>安全文明施工费、规费计取基础报价评审</w:t>
      </w:r>
      <w:bookmarkEnd w:id="16"/>
    </w:p>
    <w:p>
      <w:pPr>
        <w:jc w:val="center"/>
        <w:rPr>
          <w:rFonts w:hAnsi="宋体"/>
          <w:sz w:val="24"/>
          <w:szCs w:val="24"/>
        </w:rPr>
      </w:pPr>
      <w:r>
        <w:rPr>
          <w:rFonts w:hint="eastAsia" w:eastAsia="方正小标宋简体"/>
          <w:sz w:val="44"/>
          <w:szCs w:val="44"/>
          <w:lang w:val="en-US" w:eastAsia="zh-CN"/>
        </w:rPr>
        <w:t xml:space="preserve"> </w:t>
      </w:r>
      <w:r>
        <w:rPr>
          <w:sz w:val="24"/>
        </w:rPr>
        <w:t>投标人名称：</w:t>
      </w:r>
      <w:r>
        <w:rPr>
          <w:sz w:val="24"/>
          <w:lang w:val="en-US" w:eastAsia="zh-CN"/>
        </w:rPr>
        <w:t xml:space="preserve">                                           </w:t>
      </w:r>
      <w:r>
        <w:rPr>
          <w:rFonts w:hAnsi="宋体"/>
          <w:sz w:val="24"/>
          <w:szCs w:val="24"/>
        </w:rPr>
        <w:t>第</w:t>
      </w:r>
      <w:r>
        <w:rPr>
          <w:sz w:val="24"/>
          <w:szCs w:val="24"/>
        </w:rPr>
        <w:t xml:space="preserve">  </w:t>
      </w:r>
      <w:r>
        <w:rPr>
          <w:rFonts w:hAnsi="宋体"/>
          <w:sz w:val="24"/>
          <w:szCs w:val="24"/>
        </w:rPr>
        <w:t>页</w:t>
      </w:r>
      <w:r>
        <w:rPr>
          <w:sz w:val="24"/>
          <w:szCs w:val="24"/>
          <w:lang w:eastAsia="zh-CN"/>
        </w:rPr>
        <w:t xml:space="preserve"> </w:t>
      </w:r>
      <w:r>
        <w:rPr>
          <w:rFonts w:hAnsi="宋体"/>
          <w:sz w:val="24"/>
          <w:szCs w:val="24"/>
        </w:rPr>
        <w:t>共</w:t>
      </w:r>
      <w:r>
        <w:rPr>
          <w:sz w:val="24"/>
          <w:szCs w:val="24"/>
        </w:rPr>
        <w:t xml:space="preserve">  </w:t>
      </w:r>
      <w:r>
        <w:rPr>
          <w:rFonts w:hAnsi="宋体"/>
          <w:sz w:val="24"/>
          <w:szCs w:val="24"/>
        </w:rPr>
        <w:t>页</w:t>
      </w:r>
    </w:p>
    <w:p>
      <w:pPr>
        <w:ind w:left="0" w:leftChars="0" w:firstLine="0" w:firstLineChars="0"/>
        <w:jc w:val="both"/>
        <w:rPr>
          <w:rFonts w:hint="eastAsia" w:ascii="宋体" w:hAnsi="宋体" w:eastAsia="宋体" w:cs="宋体"/>
          <w:sz w:val="44"/>
          <w:szCs w:val="44"/>
        </w:rPr>
      </w:pPr>
      <w:r>
        <w:rPr>
          <w:rFonts w:hint="eastAsia"/>
          <w:sz w:val="24"/>
          <w:lang w:val="en-US" w:eastAsia="zh-CN"/>
        </w:rPr>
        <w:t>工程名称</w:t>
      </w:r>
      <w:r>
        <w:rPr>
          <w:sz w:val="24"/>
        </w:rPr>
        <w:t>名称：</w:t>
      </w:r>
      <w:r>
        <w:rPr>
          <w:sz w:val="24"/>
          <w:lang w:val="en-US" w:eastAsia="zh-CN"/>
        </w:rPr>
        <w:t xml:space="preserve"> </w:t>
      </w:r>
    </w:p>
    <w:tbl>
      <w:tblPr>
        <w:tblStyle w:val="8"/>
        <w:tblW w:w="544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16"/>
        <w:gridCol w:w="1231"/>
        <w:gridCol w:w="1231"/>
        <w:gridCol w:w="1241"/>
        <w:gridCol w:w="1231"/>
        <w:gridCol w:w="1237"/>
        <w:gridCol w:w="1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单项工程1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单位工程1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安全文明施工费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923"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投标人</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投标人</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费率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b</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投标人计取基础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c=a/b</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控制价相应价格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d</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控制价</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费率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控制价</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计取基础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f=d/e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环境保护费、文明施工费、安全防护费</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扬尘防治增加费</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规费、税金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工程排污费</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养老保险费</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失业保险费</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医疗保险费</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生育保险费</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工伤保险费</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大型机械检测检验费</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增值税销项税额</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单位工程2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单项工程2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246"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投标人计取基础合计=∑c</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246"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控制价计取基础合计=∑f</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246"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偏差率=（投标人计取基础合计-控制价计取基础合计）/控制价计取基础合计</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246"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投标报价中单位工程的安全文明施工费或、规费计取基础低于或高于招标控制价相应金额30%</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ind w:left="0" w:leftChars="0" w:firstLine="0" w:firstLineChars="0"/>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EF2FFEFE-2F2F-44DB-BEA7-D293A8A54ABA}"/>
  </w:font>
  <w:font w:name="方正小标宋简体">
    <w:panose1 w:val="02000000000000000000"/>
    <w:charset w:val="86"/>
    <w:family w:val="script"/>
    <w:pitch w:val="default"/>
    <w:sig w:usb0="00000001" w:usb1="08000000" w:usb2="00000000" w:usb3="00000000" w:csb0="00040000" w:csb1="00000000"/>
    <w:embedRegular r:id="rId2" w:fontKey="{C07135F9-8100-4704-B85B-29E7AD648822}"/>
  </w:font>
  <w:font w:name="仿宋_GB2312">
    <w:altName w:val="仿宋"/>
    <w:panose1 w:val="00000000000000000000"/>
    <w:charset w:val="86"/>
    <w:family w:val="modern"/>
    <w:pitch w:val="default"/>
    <w:sig w:usb0="00000000" w:usb1="00000000" w:usb2="00000000" w:usb3="00000000" w:csb0="00040000" w:csb1="00000000"/>
    <w:embedRegular r:id="rId3" w:fontKey="{6B32463D-4029-4825-B477-BD2F825821A2}"/>
  </w:font>
  <w:font w:name="Wingdings 2">
    <w:panose1 w:val="05020102010507070707"/>
    <w:charset w:val="00"/>
    <w:family w:val="auto"/>
    <w:pitch w:val="default"/>
    <w:sig w:usb0="00000000" w:usb1="00000000" w:usb2="00000000" w:usb3="00000000" w:csb0="80000000" w:csb1="00000000"/>
    <w:embedRegular r:id="rId4" w:fontKey="{B1DDF593-0484-451B-A874-2C02DCC9D25E}"/>
  </w:font>
  <w:font w:name="楷体">
    <w:panose1 w:val="02010609060101010101"/>
    <w:charset w:val="86"/>
    <w:family w:val="auto"/>
    <w:pitch w:val="default"/>
    <w:sig w:usb0="800002BF" w:usb1="38CF7CFA" w:usb2="00000016" w:usb3="00000000" w:csb0="00040001" w:csb1="00000000"/>
    <w:embedRegular r:id="rId5" w:fontKey="{C0E09A63-7811-471B-9647-D736A97FA69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3MWUyZWI2ZDlhZjUyZjBkNzYxMGFmYTkzMjkwOTEifQ=="/>
  </w:docVars>
  <w:rsids>
    <w:rsidRoot w:val="3BDC1CDE"/>
    <w:rsid w:val="01897A84"/>
    <w:rsid w:val="04D875C5"/>
    <w:rsid w:val="0C545594"/>
    <w:rsid w:val="103E3CA8"/>
    <w:rsid w:val="10A83F27"/>
    <w:rsid w:val="111874E7"/>
    <w:rsid w:val="12C64289"/>
    <w:rsid w:val="13DB3A8A"/>
    <w:rsid w:val="195B757D"/>
    <w:rsid w:val="199D21E8"/>
    <w:rsid w:val="19CC076E"/>
    <w:rsid w:val="1A277343"/>
    <w:rsid w:val="1A601163"/>
    <w:rsid w:val="1C8F5D8F"/>
    <w:rsid w:val="1D0274C3"/>
    <w:rsid w:val="201974D3"/>
    <w:rsid w:val="20795A12"/>
    <w:rsid w:val="20B80073"/>
    <w:rsid w:val="20F72542"/>
    <w:rsid w:val="237017BB"/>
    <w:rsid w:val="25BC57A4"/>
    <w:rsid w:val="2A9B0ECA"/>
    <w:rsid w:val="2ADE6AFB"/>
    <w:rsid w:val="2B91322F"/>
    <w:rsid w:val="2BA754DB"/>
    <w:rsid w:val="2D215175"/>
    <w:rsid w:val="2E4345BF"/>
    <w:rsid w:val="34624E0A"/>
    <w:rsid w:val="35383B8E"/>
    <w:rsid w:val="376B4257"/>
    <w:rsid w:val="37C655BF"/>
    <w:rsid w:val="380F3D50"/>
    <w:rsid w:val="3BDC1CDE"/>
    <w:rsid w:val="3E6C59E0"/>
    <w:rsid w:val="40842F11"/>
    <w:rsid w:val="46D254C9"/>
    <w:rsid w:val="4E0A6019"/>
    <w:rsid w:val="4EB135D7"/>
    <w:rsid w:val="4EB726FD"/>
    <w:rsid w:val="4ED9304D"/>
    <w:rsid w:val="5087310C"/>
    <w:rsid w:val="51134177"/>
    <w:rsid w:val="522F6B7C"/>
    <w:rsid w:val="53EC33B3"/>
    <w:rsid w:val="54D35AAA"/>
    <w:rsid w:val="551C150B"/>
    <w:rsid w:val="595F19AF"/>
    <w:rsid w:val="5D7F6ADB"/>
    <w:rsid w:val="5E3C031F"/>
    <w:rsid w:val="5F7B1AEF"/>
    <w:rsid w:val="605775B8"/>
    <w:rsid w:val="64C81C75"/>
    <w:rsid w:val="66B50BC8"/>
    <w:rsid w:val="69521DB9"/>
    <w:rsid w:val="70343755"/>
    <w:rsid w:val="717A163C"/>
    <w:rsid w:val="755A5A0C"/>
    <w:rsid w:val="79B822EE"/>
    <w:rsid w:val="79D51B05"/>
    <w:rsid w:val="7F826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djustRightInd w:val="0"/>
      <w:spacing w:line="360" w:lineRule="atLeast"/>
      <w:ind w:firstLine="420"/>
      <w:textAlignment w:val="baseline"/>
    </w:pPr>
    <w:rPr>
      <w:rFonts w:ascii="Times New Roman" w:hAnsi="Times New Roman" w:eastAsia="宋体" w:cs="Times New Roman"/>
    </w:rPr>
  </w:style>
  <w:style w:type="paragraph" w:styleId="4">
    <w:name w:val="annotation text"/>
    <w:basedOn w:val="1"/>
    <w:qFormat/>
    <w:uiPriority w:val="0"/>
    <w:pPr>
      <w:jc w:val="left"/>
    </w:pPr>
  </w:style>
  <w:style w:type="paragraph" w:styleId="5">
    <w:name w:val="Body Text Indent"/>
    <w:basedOn w:val="1"/>
    <w:next w:val="6"/>
    <w:qFormat/>
    <w:uiPriority w:val="0"/>
    <w:pPr>
      <w:ind w:firstLine="489" w:firstLineChars="178"/>
    </w:pPr>
    <w:rPr>
      <w:kern w:val="0"/>
      <w:sz w:val="28"/>
      <w:szCs w:val="28"/>
    </w:rPr>
  </w:style>
  <w:style w:type="paragraph" w:styleId="6">
    <w:name w:val="Normal (Web)"/>
    <w:basedOn w:val="1"/>
    <w:next w:val="1"/>
    <w:qFormat/>
    <w:uiPriority w:val="0"/>
    <w:rPr>
      <w:sz w:val="24"/>
    </w:rPr>
  </w:style>
  <w:style w:type="paragraph" w:styleId="7">
    <w:name w:val="Body Text First Indent 2"/>
    <w:basedOn w:val="5"/>
    <w:qFormat/>
    <w:uiPriority w:val="99"/>
    <w:pPr>
      <w:ind w:firstLine="420" w:firstLineChars="200"/>
    </w:pPr>
  </w:style>
  <w:style w:type="character" w:customStyle="1" w:styleId="10">
    <w:name w:val="font31"/>
    <w:basedOn w:val="9"/>
    <w:qFormat/>
    <w:uiPriority w:val="0"/>
    <w:rPr>
      <w:rFonts w:hint="eastAsia" w:ascii="宋体" w:hAnsi="宋体" w:eastAsia="宋体" w:cs="宋体"/>
      <w:color w:val="000000"/>
      <w:sz w:val="21"/>
      <w:szCs w:val="21"/>
      <w:u w:val="none"/>
    </w:rPr>
  </w:style>
  <w:style w:type="character" w:customStyle="1" w:styleId="11">
    <w:name w:val="font11"/>
    <w:basedOn w:val="9"/>
    <w:qFormat/>
    <w:uiPriority w:val="0"/>
    <w:rPr>
      <w:rFonts w:hint="default" w:ascii="Calibri" w:hAnsi="Calibri" w:cs="Calibri"/>
      <w:color w:val="000000"/>
      <w:sz w:val="21"/>
      <w:szCs w:val="21"/>
      <w:u w:val="none"/>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p0"/>
    <w:basedOn w:val="1"/>
    <w:qFormat/>
    <w:uiPriority w:val="0"/>
    <w:pPr>
      <w:widowControl/>
    </w:pPr>
    <w:rPr>
      <w:rFonts w:ascii="Calibri" w:hAnsi="Calibri" w:cs="宋体"/>
      <w:kern w:val="0"/>
      <w:szCs w:val="21"/>
    </w:rPr>
  </w:style>
  <w:style w:type="paragraph" w:customStyle="1" w:styleId="14">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4165</Words>
  <Characters>4335</Characters>
  <Lines>0</Lines>
  <Paragraphs>0</Paragraphs>
  <TotalTime>1</TotalTime>
  <ScaleCrop>false</ScaleCrop>
  <LinksUpToDate>false</LinksUpToDate>
  <CharactersWithSpaces>5091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2022-03-14T08:14:00Z</dcterms:created>
  <dc:creator>兴中</dc:creator>
  <cp:lastModifiedBy>淡淡丶</cp:lastModifiedBy>
  <dcterms:modified xsi:type="dcterms:W3CDTF">2022-05-12T02:55:53Z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74C6CF7E94174ACA8E6867CCC410798C</vt:lpwstr>
  </property>
  <property fmtid="{D5CDD505-2E9C-101B-9397-08002B2CF9AE}" pid="4" name="commondata">
    <vt:lpwstr>eyJoZGlkIjoiMjY3MWUyZWI2ZDlhZjUyZjBkNzYxMGFmYTkzMjkwOTEifQ==</vt:lpwstr>
  </property>
</Properties>
</file>